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09" w:rsidRPr="00911D09" w:rsidRDefault="00911D09" w:rsidP="009F694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11D09">
        <w:rPr>
          <w:rFonts w:ascii="Times New Roman" w:hAnsi="Times New Roman" w:cs="Times New Roman"/>
          <w:sz w:val="28"/>
          <w:szCs w:val="28"/>
        </w:rPr>
        <w:t>Приложение</w:t>
      </w:r>
    </w:p>
    <w:p w:rsidR="00911D09" w:rsidRDefault="00911D09" w:rsidP="009F6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7B" w:rsidRDefault="00031F7B" w:rsidP="009F6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F7B">
        <w:rPr>
          <w:rFonts w:ascii="Times New Roman" w:hAnsi="Times New Roman" w:cs="Times New Roman"/>
          <w:b/>
          <w:sz w:val="28"/>
          <w:szCs w:val="28"/>
        </w:rPr>
        <w:t>О финансовых инструментах для малого и среднего бизнеса</w:t>
      </w:r>
    </w:p>
    <w:p w:rsidR="009F6945" w:rsidRPr="00031F7B" w:rsidRDefault="009F6945" w:rsidP="009F6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7B" w:rsidRPr="00031F7B" w:rsidRDefault="00031F7B" w:rsidP="009F6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пользуются всеми финансовыми инструментами, доступными для малого и среднего бизнеса в рамках реализации нацпроекта «Малое и среднее предпринимательство»</w:t>
      </w:r>
      <w:r w:rsidR="009F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F7B" w:rsidRPr="00031F7B" w:rsidRDefault="00031F7B" w:rsidP="009F6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воспользоваться линейкой льготных финансовых программ, среди которых зонтичный механизм поручительств, </w:t>
      </w: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микрозаймы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поручительства региональных гарантийных организаций, программа 1764.</w:t>
      </w:r>
    </w:p>
    <w:p w:rsidR="00031F7B" w:rsidRPr="00031F7B" w:rsidRDefault="00031F7B" w:rsidP="009F6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микробизнесу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предприятия, чья среднесписочная численность работников за предшествующий год не превышает 15 человек, а предельное значение дохода за этот же период — 120 млн рублей. Доля участия общественных и благотворительных организаций — не более 25%, а иностранных (не относящихся к </w:t>
      </w: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микробизнесу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не более 49% уставного капитала.</w:t>
      </w:r>
    </w:p>
    <w:p w:rsidR="00031F7B" w:rsidRPr="00031F7B" w:rsidRDefault="00031F7B" w:rsidP="009F6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«Если рассмотреть линейку льготных финансовых программ, то чаще всего </w:t>
      </w:r>
      <w:proofErr w:type="spellStart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обращаются за зонтичным поручительством: в 2024 году инструментом воспользовались более 16 тыс. </w:t>
      </w:r>
      <w:proofErr w:type="spellStart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это 85% от общего числа получателей по программе. На втором месте — </w:t>
      </w:r>
      <w:proofErr w:type="spellStart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микрофинансовая</w:t>
      </w:r>
      <w:proofErr w:type="spellEnd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поддержка. В этом году ею воспользовались 9 тыс. </w:t>
      </w:r>
      <w:proofErr w:type="spellStart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или 89% от общего числа получателей по программе. Далее идет поддержка региональных гарантийных организаций: программой воспользовались почти 5 тыс. компаний </w:t>
      </w:r>
      <w:proofErr w:type="spellStart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микробизнеса</w:t>
      </w:r>
      <w:proofErr w:type="spellEnd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это 73% от общего числа получателей. Реже всего </w:t>
      </w:r>
      <w:proofErr w:type="spellStart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031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обращаются за кредитами по программе 1764, несмотря на то что процент от общего количества получателей также высок — 68%, или 6 тыс. предприятий»</w:t>
      </w: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поясняет замминистра экономического развития </w:t>
      </w:r>
      <w:r w:rsidRPr="0003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Татьяна </w:t>
      </w:r>
      <w:proofErr w:type="spellStart"/>
      <w:r w:rsidRPr="0003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Илюшникова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F7B" w:rsidRPr="00031F7B" w:rsidRDefault="00031F7B" w:rsidP="009F6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словам замминистра, портфель поддержанных через зонтичные поручительства проектов уже превысил портфель проектов, поддержанных через субсидирование процентной ставки. Отсутствие залогового обеспечения является весомым ограничителем в получении банковского кредита, в том числе для </w:t>
      </w: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Зонтичные поручительства или поручительства региональных гарантийных организаций снимают это ограничение.</w:t>
      </w:r>
    </w:p>
    <w:p w:rsidR="00031F7B" w:rsidRPr="00031F7B" w:rsidRDefault="00031F7B" w:rsidP="009F6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популярность </w:t>
      </w: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микрофинансовой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можно тем, что для решения своих задач </w:t>
      </w: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</w:t>
      </w:r>
      <w:r w:rsidR="003E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бизнесу</w:t>
      </w:r>
      <w:proofErr w:type="spellEnd"/>
      <w:r w:rsidR="003E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нужны большие суммы –</w:t>
      </w: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 5 млн рублей, что они могут получить в рамках программы, может быть достаточно.</w:t>
      </w:r>
    </w:p>
    <w:p w:rsidR="009F6945" w:rsidRDefault="00031F7B" w:rsidP="009F6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</w:t>
      </w: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микрозаем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льготных условиях можно, обратившись в государственную </w:t>
      </w: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микрофинансовую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Смоленской области это – Фонд</w:t>
      </w:r>
      <w:r w:rsidR="009F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предпринимательства.</w:t>
      </w:r>
      <w:bookmarkStart w:id="0" w:name="_GoBack"/>
      <w:bookmarkEnd w:id="0"/>
    </w:p>
    <w:p w:rsidR="00031F7B" w:rsidRDefault="00031F7B" w:rsidP="009F6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 Фонда:</w:t>
      </w: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77-70-77, (4812) 61-05-09, сайт -</w:t>
      </w: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6" w:history="1">
        <w:r w:rsidRPr="00ED784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www.sofpmp.ru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 -</w:t>
      </w: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210014, г. Смоленск, ул. Энгельса, д.23.</w:t>
      </w:r>
    </w:p>
    <w:p w:rsidR="00031F7B" w:rsidRPr="00031F7B" w:rsidRDefault="00031F7B" w:rsidP="009F6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за поддержкой</w:t>
      </w:r>
      <w:r w:rsidR="003E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том числе можно через платформу МСП. РФ. Этой возможностью в 2024 году воспользовались более 3 тыс. </w:t>
      </w:r>
      <w:proofErr w:type="spellStart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D09" w:rsidRDefault="00911D09" w:rsidP="009F6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1D09" w:rsidSect="003E28C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09B9"/>
    <w:multiLevelType w:val="multilevel"/>
    <w:tmpl w:val="811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31"/>
    <w:rsid w:val="00031F7B"/>
    <w:rsid w:val="00107A3F"/>
    <w:rsid w:val="003E28C1"/>
    <w:rsid w:val="00911D09"/>
    <w:rsid w:val="00960264"/>
    <w:rsid w:val="009F6945"/>
    <w:rsid w:val="00A14702"/>
    <w:rsid w:val="00B57ABF"/>
    <w:rsid w:val="00F2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830C-25A3-40B0-BE3B-29174758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026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1F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51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fpm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86DC-2D84-4354-B5B8-29177790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Клавденкова Светлана Юрьевна</cp:lastModifiedBy>
  <cp:revision>7</cp:revision>
  <dcterms:created xsi:type="dcterms:W3CDTF">2024-10-01T13:43:00Z</dcterms:created>
  <dcterms:modified xsi:type="dcterms:W3CDTF">2024-10-03T07:19:00Z</dcterms:modified>
</cp:coreProperties>
</file>