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ский район»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</w:t>
      </w:r>
      <w:r w:rsidR="00952963">
        <w:rPr>
          <w:rFonts w:ascii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sz w:val="20"/>
          <w:szCs w:val="20"/>
        </w:rPr>
        <w:t>униципальными образованиями Смоленской области</w:t>
      </w:r>
    </w:p>
    <w:tbl>
      <w:tblPr>
        <w:tblW w:w="101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097"/>
        <w:gridCol w:w="1116"/>
        <w:gridCol w:w="1116"/>
        <w:gridCol w:w="1170"/>
        <w:gridCol w:w="1089"/>
        <w:gridCol w:w="1089"/>
        <w:gridCol w:w="997"/>
        <w:gridCol w:w="997"/>
      </w:tblGrid>
      <w:tr w:rsidR="008746C0" w:rsidTr="008746C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13,48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Pr="00DB37A6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DB37A6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Новодугинский </w:t>
            </w:r>
            <w:proofErr w:type="spellStart"/>
            <w:r w:rsidRPr="00DB37A6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B37A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1,65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5,71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B37A6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DB37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37A6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A6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Pr="00DB37A6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-0,56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-0,77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-0,87</w:t>
            </w:r>
          </w:p>
        </w:tc>
      </w:tr>
      <w:tr w:rsidR="008746C0" w:rsidTr="008746C0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-1,38</w:t>
            </w:r>
          </w:p>
        </w:tc>
      </w:tr>
      <w:tr w:rsidR="008746C0" w:rsidTr="008746C0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C0" w:rsidRDefault="008746C0" w:rsidP="008D60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-2,36</w:t>
            </w:r>
          </w:p>
        </w:tc>
      </w:tr>
      <w:tr w:rsidR="008746C0" w:rsidTr="008746C0">
        <w:trPr>
          <w:trHeight w:val="6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C0" w:rsidRDefault="008746C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C0" w:rsidRDefault="008746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3,29</w:t>
            </w:r>
          </w:p>
        </w:tc>
      </w:tr>
    </w:tbl>
    <w:p w:rsidR="008746C0" w:rsidRDefault="008746C0" w:rsidP="008746C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8746C0" w:rsidRDefault="008746C0" w:rsidP="00874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10.08.2023 по 10.08.202 4 число субъектов МСП в 21 муниципальных образованиях увеличилось.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Наибольший рост наблюдается в г. Смоленск +574 ед. или 2,93%, Смоленском районе +251 ед. или 10,26%;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+78 ед. или 5,18%,  Вяземском районе +77 ед. или 3,28%,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+62 ед. или 3,66%. В 5 муниципальных образованиях снижено количество субъектов МСП: наибольшее снижение наблюдается в  Демидовском районе–7 ед. или 2,36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%;Руднянскомрайоне – 7 ед. или 0,87%;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 ед. или 0,77%;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ед. или 1,38%.</w:t>
      </w:r>
    </w:p>
    <w:p w:rsidR="008746C0" w:rsidRDefault="008746C0" w:rsidP="00874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11 районах (наибольший рост – Смоленский район +85 ед. или 3,25%,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+16 ед. или 0,92%,Хиславичский +12 или 6,32%,). В остальных районах отмечено снижение числа зарегистрированных субъектов МСП (наибольшее снижение – в г. Смоленск - 317 ед. или 1,55 %,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-36 ед. или 2,04%,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Руднянскомрайоне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26 ед. или 3,17%). </w:t>
      </w:r>
      <w:proofErr w:type="gramEnd"/>
    </w:p>
    <w:p w:rsidR="008746C0" w:rsidRDefault="008746C0" w:rsidP="00874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области с начала 2024 года на 330 ед. или на 0,87% уменьшилось количество субъектов МСП, за год произошло увеличение на 1204 ед. или на 3,29%.</w:t>
      </w:r>
    </w:p>
    <w:p w:rsidR="008746C0" w:rsidRDefault="008746C0" w:rsidP="00874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DB37A6">
        <w:rPr>
          <w:rFonts w:ascii="Times New Roman" w:hAnsi="Times New Roman" w:cs="Times New Roman"/>
          <w:sz w:val="24"/>
          <w:szCs w:val="24"/>
        </w:rPr>
        <w:t>Новодугин</w:t>
      </w:r>
      <w:r>
        <w:rPr>
          <w:rFonts w:ascii="Times New Roman" w:hAnsi="Times New Roman" w:cs="Times New Roman"/>
          <w:sz w:val="24"/>
          <w:szCs w:val="24"/>
        </w:rPr>
        <w:t xml:space="preserve">ский район» Смоленской области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10.08.2023г. по 10.08.2024г. </w:t>
      </w:r>
      <w:r w:rsidR="00DB37A6">
        <w:rPr>
          <w:rFonts w:ascii="Times New Roman" w:hAnsi="Times New Roman" w:cs="Times New Roman"/>
          <w:sz w:val="24"/>
          <w:szCs w:val="24"/>
        </w:rPr>
        <w:t>увеличилось на 10</w:t>
      </w:r>
      <w:r>
        <w:rPr>
          <w:rFonts w:ascii="Times New Roman" w:hAnsi="Times New Roman" w:cs="Times New Roman"/>
          <w:sz w:val="24"/>
          <w:szCs w:val="24"/>
        </w:rPr>
        <w:t xml:space="preserve"> ед., с начала 2024 года число МСП у</w:t>
      </w:r>
      <w:r w:rsidR="00DB37A6">
        <w:rPr>
          <w:rFonts w:ascii="Times New Roman" w:hAnsi="Times New Roman" w:cs="Times New Roman"/>
          <w:sz w:val="24"/>
          <w:szCs w:val="24"/>
        </w:rPr>
        <w:t>величило</w:t>
      </w:r>
      <w:r>
        <w:rPr>
          <w:rFonts w:ascii="Times New Roman" w:hAnsi="Times New Roman" w:cs="Times New Roman"/>
          <w:sz w:val="24"/>
          <w:szCs w:val="24"/>
        </w:rPr>
        <w:t xml:space="preserve">сь на </w:t>
      </w:r>
      <w:r w:rsidR="00DB37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 или на 1,65 %.</w:t>
      </w:r>
    </w:p>
    <w:p w:rsidR="008746C0" w:rsidRDefault="008746C0" w:rsidP="00874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6C0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Динамика количества субъектов МСП</w:t>
      </w:r>
    </w:p>
    <w:p w:rsidR="008746C0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p w:rsidR="00DB37A6" w:rsidRPr="0042427B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DB37A6" w:rsidRPr="0042427B" w:rsidTr="008D60A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08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08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B37A6" w:rsidRPr="0042427B" w:rsidTr="008D60A3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</w:tbl>
    <w:p w:rsidR="00DB37A6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7A6" w:rsidRPr="009D49AD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Новодугинс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кий район» Смоленской области </w:t>
      </w:r>
      <w:r w:rsidRPr="009D49AD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увеличилось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49AD">
        <w:rPr>
          <w:rFonts w:ascii="Times New Roman" w:hAnsi="Times New Roman" w:cs="Times New Roman"/>
          <w:sz w:val="24"/>
          <w:szCs w:val="24"/>
        </w:rPr>
        <w:t xml:space="preserve"> ед., </w:t>
      </w:r>
      <w:r>
        <w:rPr>
          <w:rFonts w:ascii="Times New Roman" w:hAnsi="Times New Roman" w:cs="Times New Roman"/>
          <w:sz w:val="24"/>
          <w:szCs w:val="24"/>
        </w:rPr>
        <w:t>рост 6,4</w:t>
      </w:r>
      <w:r w:rsidRPr="009D49AD">
        <w:rPr>
          <w:rFonts w:ascii="Times New Roman" w:hAnsi="Times New Roman" w:cs="Times New Roman"/>
          <w:sz w:val="24"/>
          <w:szCs w:val="24"/>
        </w:rPr>
        <w:t xml:space="preserve"> %, при этом количество ИП </w:t>
      </w:r>
      <w:r>
        <w:rPr>
          <w:rFonts w:ascii="Times New Roman" w:hAnsi="Times New Roman" w:cs="Times New Roman"/>
          <w:sz w:val="24"/>
          <w:szCs w:val="24"/>
        </w:rPr>
        <w:t>не изменилось.</w:t>
      </w:r>
      <w:r w:rsidRPr="009D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7A6" w:rsidRPr="005046A9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9AD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9D49AD">
        <w:rPr>
          <w:rFonts w:ascii="Times New Roman" w:hAnsi="Times New Roman" w:cs="Times New Roman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9D49AD">
        <w:rPr>
          <w:rFonts w:ascii="Times New Roman" w:hAnsi="Times New Roman" w:cs="Times New Roman"/>
          <w:sz w:val="24"/>
          <w:szCs w:val="24"/>
        </w:rPr>
        <w:t xml:space="preserve"> 2024 г.) наблюдается у</w:t>
      </w:r>
      <w:r>
        <w:rPr>
          <w:rFonts w:ascii="Times New Roman" w:hAnsi="Times New Roman" w:cs="Times New Roman"/>
          <w:sz w:val="24"/>
          <w:szCs w:val="24"/>
        </w:rPr>
        <w:t>величени</w:t>
      </w:r>
      <w:r w:rsidRPr="009D49AD">
        <w:rPr>
          <w:rFonts w:ascii="Times New Roman" w:hAnsi="Times New Roman" w:cs="Times New Roman"/>
          <w:sz w:val="24"/>
          <w:szCs w:val="24"/>
        </w:rPr>
        <w:t xml:space="preserve">е числа юридических лиц (на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9AD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49AD">
        <w:rPr>
          <w:rFonts w:ascii="Times New Roman" w:hAnsi="Times New Roman" w:cs="Times New Roman"/>
          <w:sz w:val="24"/>
          <w:szCs w:val="24"/>
        </w:rPr>
        <w:t xml:space="preserve"> %) и у</w:t>
      </w:r>
      <w:r>
        <w:rPr>
          <w:rFonts w:ascii="Times New Roman" w:hAnsi="Times New Roman" w:cs="Times New Roman"/>
          <w:sz w:val="24"/>
          <w:szCs w:val="24"/>
        </w:rPr>
        <w:t>величени</w:t>
      </w:r>
      <w:r w:rsidRPr="009D49AD">
        <w:rPr>
          <w:rFonts w:ascii="Times New Roman" w:hAnsi="Times New Roman" w:cs="Times New Roman"/>
          <w:sz w:val="24"/>
          <w:szCs w:val="24"/>
        </w:rPr>
        <w:t xml:space="preserve">е числа индивидуальных предпринимателей (на </w:t>
      </w:r>
      <w:r>
        <w:rPr>
          <w:rFonts w:ascii="Times New Roman" w:hAnsi="Times New Roman" w:cs="Times New Roman"/>
          <w:sz w:val="24"/>
          <w:szCs w:val="24"/>
        </w:rPr>
        <w:t xml:space="preserve">9 ед. или на </w:t>
      </w:r>
      <w:r w:rsidRPr="009D49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9D49A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0A3" w:rsidRPr="0042427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«Новодугинский  район»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за период 01.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0A3" w:rsidRDefault="008D60A3" w:rsidP="00721B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7015" cy="2162175"/>
            <wp:effectExtent l="19050" t="0" r="1333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60A3" w:rsidRPr="0042427B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>
        <w:rPr>
          <w:rFonts w:ascii="Times New Roman" w:hAnsi="Times New Roman" w:cs="Times New Roman"/>
          <w:sz w:val="24"/>
          <w:szCs w:val="24"/>
        </w:rPr>
        <w:t>1 августа  2023</w:t>
      </w:r>
      <w:r w:rsidRPr="005046A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 августа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увеличилась на 10 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СМСП составило  185 ед. </w:t>
      </w:r>
    </w:p>
    <w:p w:rsidR="008D60A3" w:rsidRPr="005046A9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</w:t>
      </w:r>
      <w:r>
        <w:rPr>
          <w:rFonts w:ascii="Times New Roman" w:hAnsi="Times New Roman" w:cs="Times New Roman"/>
          <w:sz w:val="24"/>
          <w:szCs w:val="24"/>
        </w:rPr>
        <w:t xml:space="preserve">с января 2024 года по август  2024 года </w:t>
      </w:r>
      <w:r w:rsidRPr="005046A9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5046A9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5046A9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5046A9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5046A9">
        <w:rPr>
          <w:rFonts w:ascii="Times New Roman" w:hAnsi="Times New Roman" w:cs="Times New Roman"/>
          <w:sz w:val="24"/>
          <w:szCs w:val="24"/>
        </w:rPr>
        <w:t>.</w:t>
      </w: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«Новодугинский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10.08</w:t>
            </w:r>
            <w:r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-2,9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-2,9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-4,8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071B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хозяйство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–(+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11,1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>%), строительство (+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15,8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071B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3A2F01" w:rsidRPr="00485538" w:rsidTr="00C460D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3A2F01" w:rsidRPr="00485538" w:rsidTr="00C460D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10.08. 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A2F01" w:rsidRPr="00485538" w:rsidTr="00C460D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A2F01" w:rsidRPr="00485538" w:rsidTr="00C460D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-17,4</w:t>
            </w:r>
          </w:p>
        </w:tc>
      </w:tr>
      <w:tr w:rsidR="003A2F01" w:rsidRPr="00485538" w:rsidTr="00C460D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3A2F01" w:rsidRPr="00485538" w:rsidTr="00C460D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C460D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</w:tr>
    </w:tbl>
    <w:p w:rsidR="003A2F01" w:rsidRPr="00B73973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10.01.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>
        <w:rPr>
          <w:rFonts w:ascii="Times New Roman" w:eastAsia="Calibri" w:hAnsi="Times New Roman" w:cs="Times New Roman"/>
          <w:sz w:val="24"/>
          <w:szCs w:val="24"/>
        </w:rPr>
        <w:t>10.08.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-4 ед. или 17,4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>
        <w:rPr>
          <w:rFonts w:ascii="Times New Roman" w:eastAsia="Calibri" w:hAnsi="Times New Roman" w:cs="Times New Roman"/>
          <w:sz w:val="24"/>
          <w:szCs w:val="24"/>
        </w:rPr>
        <w:t>+5,9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proofErr w:type="gramStart"/>
      <w:r w:rsidRPr="007964CC">
        <w:rPr>
          <w:rFonts w:ascii="Times New Roman" w:eastAsia="Calibri" w:hAnsi="Times New Roman" w:cs="Times New Roman"/>
          <w:sz w:val="24"/>
          <w:szCs w:val="24"/>
        </w:rPr>
        <w:t>Значительно изменилась структура вновь созданных субъектов МСП – в прошлом периоде ИП занимали 73,9%, в текущем – 94,7% (рост на 20,8%).</w:t>
      </w:r>
      <w:proofErr w:type="gramEnd"/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752B05" w:rsidTr="00C460D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485538" w:rsidRDefault="003A2F01" w:rsidP="00C460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485538" w:rsidRDefault="003A2F01" w:rsidP="00C460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21,4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31,6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2 р.</w:t>
            </w: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21,4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 р.</w:t>
            </w: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42,9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10,5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-66,7</w:t>
            </w: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7,1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21,0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4 р.</w:t>
            </w: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по операциям с недвижимым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C460D8">
        <w:trPr>
          <w:trHeight w:val="20"/>
        </w:trPr>
        <w:tc>
          <w:tcPr>
            <w:tcW w:w="3964" w:type="dxa"/>
            <w:noWrap/>
            <w:hideMark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460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35,7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AAB">
        <w:rPr>
          <w:rFonts w:ascii="Times New Roman" w:eastAsia="Calibri" w:hAnsi="Times New Roman" w:cs="Times New Roman"/>
          <w:sz w:val="24"/>
          <w:szCs w:val="24"/>
        </w:rPr>
        <w:t>Из таблицы видно, что с 10.08.2023г. по 10.08.2024г. среди субъектов МСП открыто значительно больше предприятий в сферах деятельности транспортировка и хранение (6 вместо 3), торговля (6 вместо 3), строительство (4 вместо 1). Вместе с тем было открыто существенно меньше субъектов МСП в сфере сельского хозяйства (2 вместо 6).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A74AAB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A74AAB">
        <w:rPr>
          <w:rFonts w:ascii="Times New Roman" w:hAnsi="Times New Roman" w:cs="Times New Roman"/>
          <w:sz w:val="24"/>
          <w:szCs w:val="24"/>
        </w:rPr>
        <w:t xml:space="preserve">За период с августа 2023 г. по август 2024 г. динамика количества субъектов МСП, осуществляющих деятельность в муниципальном образовании «Новодугинский район» Смоленской области, соответствовала тенденциям других муниципальных районов Смоленской области. </w:t>
      </w:r>
      <w:proofErr w:type="gramStart"/>
      <w:r w:rsidRPr="00A74AAB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«Новодугинский район» Смоленской области, с августа  2023 г. по август  2024 г. увеличилось со 175 ед. до  185 ед. За 7 месяцев 2024 года </w:t>
      </w:r>
      <w:r w:rsidRPr="00A74AAB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«Новодугинский район» Смоленской области </w:t>
      </w:r>
      <w:r w:rsidRPr="00A74AAB">
        <w:rPr>
          <w:rFonts w:ascii="Times New Roman" w:hAnsi="Times New Roman" w:cs="Times New Roman"/>
          <w:sz w:val="24"/>
          <w:szCs w:val="24"/>
        </w:rPr>
        <w:t>количество юридических лиц  МСП увеличилось на 3 ед., рост 6,4 %,</w:t>
      </w:r>
      <w:proofErr w:type="gramEnd"/>
    </w:p>
    <w:p w:rsidR="003A2F01" w:rsidRPr="006077F1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AAB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В </w:t>
      </w:r>
      <w:proofErr w:type="spellStart"/>
      <w:r w:rsidRPr="00A74AAB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A74AAB">
        <w:rPr>
          <w:rFonts w:ascii="Times New Roman" w:hAnsi="Times New Roman" w:cs="Times New Roman"/>
          <w:sz w:val="24"/>
          <w:szCs w:val="24"/>
        </w:rPr>
        <w:t xml:space="preserve">  районе   наиболее популярными видами деятельности являются: торговля оптовая и розничная, транспортировка и хранение; обрабатывающие производства; строительство.</w:t>
      </w: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10.07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p w:rsidR="006C4A97" w:rsidRPr="00952963" w:rsidRDefault="006C4A97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4A97" w:rsidRPr="00952963" w:rsidRDefault="006C4A97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2963">
        <w:rPr>
          <w:rFonts w:ascii="Times New Roman" w:hAnsi="Times New Roman" w:cs="Times New Roman"/>
          <w:sz w:val="24"/>
          <w:szCs w:val="24"/>
        </w:rPr>
        <w:t>-</w:t>
      </w:r>
      <w:r w:rsidR="004C1160" w:rsidRPr="00952963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4C1160" w:rsidRPr="00952963">
        <w:rPr>
          <w:rFonts w:ascii="Times New Roman" w:hAnsi="Times New Roman"/>
          <w:sz w:val="24"/>
          <w:szCs w:val="24"/>
        </w:rPr>
        <w:t>– 1</w:t>
      </w:r>
      <w:r w:rsidRPr="00952963">
        <w:rPr>
          <w:rFonts w:ascii="Times New Roman" w:hAnsi="Times New Roman"/>
          <w:sz w:val="24"/>
          <w:szCs w:val="24"/>
        </w:rPr>
        <w:t xml:space="preserve"> ед.,</w:t>
      </w:r>
    </w:p>
    <w:p w:rsidR="004C1160" w:rsidRPr="00952963" w:rsidRDefault="004C1160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963">
        <w:rPr>
          <w:rFonts w:ascii="Times New Roman" w:hAnsi="Times New Roman" w:cs="Times New Roman"/>
          <w:sz w:val="24"/>
          <w:szCs w:val="24"/>
        </w:rPr>
        <w:t>- обрабатывающие производства – 1 ед.</w:t>
      </w:r>
    </w:p>
    <w:p w:rsidR="006C4A97" w:rsidRPr="00952963" w:rsidRDefault="006C4A97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963">
        <w:rPr>
          <w:rFonts w:ascii="Times New Roman" w:hAnsi="Times New Roman" w:cs="Times New Roman"/>
          <w:sz w:val="24"/>
          <w:szCs w:val="24"/>
        </w:rPr>
        <w:t xml:space="preserve">Прекратил деятельность 1 </w:t>
      </w:r>
      <w:r w:rsidR="00952963" w:rsidRPr="00952963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952963">
        <w:rPr>
          <w:rFonts w:ascii="Times New Roman" w:hAnsi="Times New Roman" w:cs="Times New Roman"/>
          <w:sz w:val="24"/>
          <w:szCs w:val="24"/>
        </w:rPr>
        <w:t>в связи с принятием им</w:t>
      </w:r>
      <w:r w:rsidR="00952963" w:rsidRPr="00952963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Pr="00952963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52963" w:rsidRPr="00952963">
        <w:rPr>
          <w:rFonts w:ascii="Times New Roman" w:hAnsi="Times New Roman" w:cs="Times New Roman"/>
          <w:sz w:val="24"/>
          <w:szCs w:val="24"/>
        </w:rPr>
        <w:t>я</w:t>
      </w:r>
      <w:r w:rsidRPr="00952963">
        <w:rPr>
          <w:rFonts w:ascii="Times New Roman" w:hAnsi="Times New Roman" w:cs="Times New Roman"/>
          <w:sz w:val="24"/>
          <w:szCs w:val="24"/>
        </w:rPr>
        <w:t>.</w:t>
      </w:r>
    </w:p>
    <w:p w:rsidR="006C4A97" w:rsidRDefault="006C4A97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01" w:rsidRPr="00D6552D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A2F01" w:rsidRPr="00D6552D" w:rsidSect="008D60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52C77"/>
    <w:rsid w:val="001B2F7D"/>
    <w:rsid w:val="003A2F01"/>
    <w:rsid w:val="00492131"/>
    <w:rsid w:val="004C1160"/>
    <w:rsid w:val="006C4A97"/>
    <w:rsid w:val="00721B50"/>
    <w:rsid w:val="008746C0"/>
    <w:rsid w:val="008D60A3"/>
    <w:rsid w:val="008F559E"/>
    <w:rsid w:val="00907A28"/>
    <w:rsid w:val="00922C16"/>
    <w:rsid w:val="00952963"/>
    <w:rsid w:val="0096522F"/>
    <w:rsid w:val="00B50ABB"/>
    <w:rsid w:val="00DB37A6"/>
    <w:rsid w:val="00E64FFD"/>
    <w:rsid w:val="00F2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735205803026239E-2"/>
          <c:y val="7.9562705849674814E-2"/>
          <c:w val="0.95898256896413159"/>
          <c:h val="0.727032136641667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Юр. Лица</c:v>
                </c:pt>
              </c:strCache>
            </c:strRef>
          </c:tx>
          <c:dLbls>
            <c:dLbl>
              <c:idx val="0"/>
              <c:layout>
                <c:manualLayout>
                  <c:x val="-1.1499209429351733E-2"/>
                  <c:y val="4.7619047619047714E-2"/>
                </c:manualLayout>
              </c:layout>
              <c:showVal val="1"/>
            </c:dLbl>
            <c:dLbl>
              <c:idx val="1"/>
              <c:layout>
                <c:manualLayout>
                  <c:x val="-5.7496047146759982E-3"/>
                  <c:y val="5.1587301587301577E-2"/>
                </c:manualLayout>
              </c:layout>
              <c:showVal val="1"/>
            </c:dLbl>
            <c:dLbl>
              <c:idx val="2"/>
              <c:layout>
                <c:manualLayout>
                  <c:x val="-1.0061808250683079E-2"/>
                  <c:y val="5.9523809523809507E-2"/>
                </c:manualLayout>
              </c:layout>
              <c:showVal val="1"/>
            </c:dLbl>
            <c:dLbl>
              <c:idx val="3"/>
              <c:layout>
                <c:manualLayout>
                  <c:x val="-1.2936610608020699E-2"/>
                  <c:y val="5.1587301587301577E-2"/>
                </c:manualLayout>
              </c:layout>
              <c:showVal val="1"/>
            </c:dLbl>
            <c:dLbl>
              <c:idx val="4"/>
              <c:layout>
                <c:manualLayout>
                  <c:x val="-1.0061808250683079E-2"/>
                  <c:y val="5.1587301587301723E-2"/>
                </c:manualLayout>
              </c:layout>
              <c:showVal val="1"/>
            </c:dLbl>
            <c:dLbl>
              <c:idx val="5"/>
              <c:layout>
                <c:manualLayout>
                  <c:x val="-8.6244070720138226E-3"/>
                  <c:y val="5.1587301587301723E-2"/>
                </c:manualLayout>
              </c:layout>
              <c:showVal val="1"/>
            </c:dLbl>
            <c:dLbl>
              <c:idx val="6"/>
              <c:layout>
                <c:manualLayout>
                  <c:x val="-8.6244070720138226E-3"/>
                  <c:y val="5.9523809523809597E-2"/>
                </c:manualLayout>
              </c:layout>
              <c:showVal val="1"/>
            </c:dLbl>
            <c:dLbl>
              <c:idx val="7"/>
              <c:layout>
                <c:manualLayout>
                  <c:x val="-1.0061808250683079E-2"/>
                  <c:y val="6.7460317460317734E-2"/>
                </c:manualLayout>
              </c:layout>
              <c:showVal val="1"/>
            </c:dLbl>
            <c:dLbl>
              <c:idx val="8"/>
              <c:layout>
                <c:manualLayout>
                  <c:x val="-8.6244070720138226E-3"/>
                  <c:y val="5.9523809523809507E-2"/>
                </c:manualLayout>
              </c:layout>
              <c:showVal val="1"/>
            </c:dLbl>
            <c:dLbl>
              <c:idx val="9"/>
              <c:layout>
                <c:manualLayout>
                  <c:x val="-1.0061808250683079E-2"/>
                  <c:y val="5.5555555555555455E-2"/>
                </c:manualLayout>
              </c:layout>
              <c:showVal val="1"/>
            </c:dLbl>
            <c:dLbl>
              <c:idx val="10"/>
              <c:layout>
                <c:manualLayout>
                  <c:x val="-8.6244070720138226E-3"/>
                  <c:y val="6.349206349206353E-2"/>
                </c:manualLayout>
              </c:layout>
              <c:showVal val="1"/>
            </c:dLbl>
            <c:dLbl>
              <c:idx val="11"/>
              <c:layout>
                <c:manualLayout>
                  <c:x val="-7.1870058933449221E-3"/>
                  <c:y val="5.9523809523809597E-2"/>
                </c:manualLayout>
              </c:layout>
              <c:showVal val="1"/>
            </c:dLbl>
            <c:dLbl>
              <c:idx val="12"/>
              <c:layout>
                <c:manualLayout>
                  <c:x val="-8.6244070720138226E-3"/>
                  <c:y val="6.3492063492063933E-2"/>
                </c:manualLayout>
              </c:layout>
              <c:showVal val="1"/>
            </c:dLbl>
            <c:dLbl>
              <c:idx val="13"/>
              <c:layout>
                <c:manualLayout>
                  <c:x val="-1.0061808250682968E-2"/>
                  <c:y val="5.9523809523809597E-2"/>
                </c:manualLayout>
              </c:layout>
              <c:showVal val="1"/>
            </c:dLbl>
            <c:showVal val="1"/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47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48</c:v>
                </c:pt>
                <c:pt idx="6">
                  <c:v>48</c:v>
                </c:pt>
                <c:pt idx="7">
                  <c:v>48</c:v>
                </c:pt>
                <c:pt idx="8">
                  <c:v>49</c:v>
                </c:pt>
                <c:pt idx="9">
                  <c:v>50</c:v>
                </c:pt>
                <c:pt idx="10">
                  <c:v>50</c:v>
                </c:pt>
                <c:pt idx="11">
                  <c:v>49</c:v>
                </c:pt>
                <c:pt idx="1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ИП</c:v>
                </c:pt>
              </c:strCache>
            </c:strRef>
          </c:tx>
          <c:dLbls>
            <c:dLbl>
              <c:idx val="0"/>
              <c:layout>
                <c:manualLayout>
                  <c:x val="-5.7496047146759982E-3"/>
                  <c:y val="4.7619047619047714E-2"/>
                </c:manualLayout>
              </c:layout>
              <c:showVal val="1"/>
            </c:dLbl>
            <c:dLbl>
              <c:idx val="1"/>
              <c:layout>
                <c:manualLayout>
                  <c:x val="-7.1870058933449221E-3"/>
                  <c:y val="4.7619047619047714E-2"/>
                </c:manualLayout>
              </c:layout>
              <c:showVal val="1"/>
            </c:dLbl>
            <c:dLbl>
              <c:idx val="2"/>
              <c:layout>
                <c:manualLayout>
                  <c:x val="-4.3122035360068965E-3"/>
                  <c:y val="4.7619047619047714E-2"/>
                </c:manualLayout>
              </c:layout>
              <c:showVal val="1"/>
            </c:dLbl>
            <c:dLbl>
              <c:idx val="3"/>
              <c:layout>
                <c:manualLayout>
                  <c:x val="-1.1499209429351733E-2"/>
                  <c:y val="5.9523809523809562E-2"/>
                </c:manualLayout>
              </c:layout>
              <c:showVal val="1"/>
            </c:dLbl>
            <c:dLbl>
              <c:idx val="4"/>
              <c:layout>
                <c:manualLayout>
                  <c:x val="-8.6244070720138226E-3"/>
                  <c:y val="4.3650793650793634E-2"/>
                </c:manualLayout>
              </c:layout>
              <c:showVal val="1"/>
            </c:dLbl>
            <c:dLbl>
              <c:idx val="5"/>
              <c:layout>
                <c:manualLayout>
                  <c:x val="-5.7496047146759982E-3"/>
                  <c:y val="5.1587301587301571E-2"/>
                </c:manualLayout>
              </c:layout>
              <c:showVal val="1"/>
            </c:dLbl>
            <c:dLbl>
              <c:idx val="6"/>
              <c:layout>
                <c:manualLayout>
                  <c:x val="-1.0061808250683079E-2"/>
                  <c:y val="5.1587301587301571E-2"/>
                </c:manualLayout>
              </c:layout>
              <c:showVal val="1"/>
            </c:dLbl>
            <c:dLbl>
              <c:idx val="7"/>
              <c:layout>
                <c:manualLayout>
                  <c:x val="-1.0061808250683079E-2"/>
                  <c:y val="5.1587301587301633E-2"/>
                </c:manualLayout>
              </c:layout>
              <c:showVal val="1"/>
            </c:dLbl>
            <c:dLbl>
              <c:idx val="8"/>
              <c:layout>
                <c:manualLayout>
                  <c:x val="-1.8686215322696563E-2"/>
                  <c:y val="5.5555555555555455E-2"/>
                </c:manualLayout>
              </c:layout>
              <c:showVal val="1"/>
            </c:dLbl>
            <c:dLbl>
              <c:idx val="9"/>
              <c:layout>
                <c:manualLayout>
                  <c:x val="-1.4374011786689666E-2"/>
                  <c:y val="4.7619047619047714E-2"/>
                </c:manualLayout>
              </c:layout>
              <c:showVal val="1"/>
            </c:dLbl>
            <c:dLbl>
              <c:idx val="10"/>
              <c:layout>
                <c:manualLayout>
                  <c:x val="-1.2936610608020699E-2"/>
                  <c:y val="5.1587301587301577E-2"/>
                </c:manualLayout>
              </c:layout>
              <c:showVal val="1"/>
            </c:dLbl>
            <c:dLbl>
              <c:idx val="11"/>
              <c:layout>
                <c:manualLayout>
                  <c:x val="-1.724881414402785E-2"/>
                  <c:y val="5.9523809523809507E-2"/>
                </c:manualLayout>
              </c:layout>
              <c:showVal val="1"/>
            </c:dLbl>
            <c:dLbl>
              <c:idx val="12"/>
              <c:layout>
                <c:manualLayout>
                  <c:x val="-1.1499209429351733E-2"/>
                  <c:y val="6.349206349206353E-2"/>
                </c:manualLayout>
              </c:layout>
              <c:showVal val="1"/>
            </c:dLbl>
            <c:dLbl>
              <c:idx val="13"/>
              <c:layout>
                <c:manualLayout>
                  <c:x val="-1.0061808250682968E-2"/>
                  <c:y val="5.1587301587301577E-2"/>
                </c:manualLayout>
              </c:layout>
              <c:showVal val="1"/>
            </c:dLbl>
            <c:showVal val="1"/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129</c:v>
                </c:pt>
                <c:pt idx="1">
                  <c:v>129</c:v>
                </c:pt>
                <c:pt idx="2">
                  <c:v>129</c:v>
                </c:pt>
                <c:pt idx="3">
                  <c:v>130</c:v>
                </c:pt>
                <c:pt idx="4">
                  <c:v>134</c:v>
                </c:pt>
                <c:pt idx="5">
                  <c:v>134</c:v>
                </c:pt>
                <c:pt idx="6">
                  <c:v>135</c:v>
                </c:pt>
                <c:pt idx="7">
                  <c:v>136</c:v>
                </c:pt>
                <c:pt idx="8">
                  <c:v>139</c:v>
                </c:pt>
                <c:pt idx="9">
                  <c:v>142</c:v>
                </c:pt>
                <c:pt idx="10">
                  <c:v>140</c:v>
                </c:pt>
                <c:pt idx="11">
                  <c:v>134</c:v>
                </c:pt>
                <c:pt idx="12">
                  <c:v>135</c:v>
                </c:pt>
              </c:numCache>
            </c:numRef>
          </c:val>
        </c:ser>
        <c:marker val="1"/>
        <c:axId val="32708480"/>
        <c:axId val="32710016"/>
      </c:lineChart>
      <c:dateAx>
        <c:axId val="32708480"/>
        <c:scaling>
          <c:orientation val="minMax"/>
        </c:scaling>
        <c:axPos val="b"/>
        <c:numFmt formatCode="dd/mm/yyyy" sourceLinked="1"/>
        <c:tickLblPos val="nextTo"/>
        <c:crossAx val="32710016"/>
        <c:crosses val="autoZero"/>
        <c:auto val="1"/>
        <c:lblOffset val="100"/>
      </c:dateAx>
      <c:valAx>
        <c:axId val="32710016"/>
        <c:scaling>
          <c:orientation val="minMax"/>
        </c:scaling>
        <c:axPos val="l"/>
        <c:majorGridlines/>
        <c:numFmt formatCode="General" sourceLinked="1"/>
        <c:tickLblPos val="nextTo"/>
        <c:crossAx val="32708480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accent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293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652"/>
          <c:w val="0.55312160054068926"/>
          <c:h val="0.5567218003075239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Культура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</c:v>
                </c:pt>
                <c:pt idx="1">
                  <c:v>34</c:v>
                </c:pt>
                <c:pt idx="2">
                  <c:v>22</c:v>
                </c:pt>
                <c:pt idx="3">
                  <c:v>12</c:v>
                </c:pt>
                <c:pt idx="4">
                  <c:v>30</c:v>
                </c:pt>
                <c:pt idx="5">
                  <c:v>20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3</cp:revision>
  <dcterms:created xsi:type="dcterms:W3CDTF">2024-08-15T08:35:00Z</dcterms:created>
  <dcterms:modified xsi:type="dcterms:W3CDTF">2024-08-15T08:36:00Z</dcterms:modified>
</cp:coreProperties>
</file>