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24B">
        <w:rPr>
          <w:rFonts w:ascii="Times New Roman" w:hAnsi="Times New Roman" w:cs="Times New Roman"/>
          <w:b/>
          <w:color w:val="FF0000"/>
          <w:sz w:val="24"/>
          <w:szCs w:val="24"/>
        </w:rPr>
        <w:t>дека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F1024B">
        <w:rPr>
          <w:rFonts w:ascii="Times New Roman" w:hAnsi="Times New Roman" w:cs="Times New Roman"/>
          <w:b/>
          <w:color w:val="FF0000"/>
          <w:sz w:val="24"/>
          <w:szCs w:val="24"/>
        </w:rPr>
        <w:t>дека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</w:t>
      </w:r>
      <w:r w:rsidR="00A33E54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10.1</w:t>
      </w:r>
      <w:r w:rsidR="00A33E54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A33E54" w:rsidTr="00A33E54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</w:tr>
      <w:tr w:rsidR="00A33E54" w:rsidTr="00A33E54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Новодугинский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A33E54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E54" w:rsidRDefault="00A33E54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33E54" w:rsidTr="00A33E54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E54" w:rsidRDefault="00A33E54" w:rsidP="00A33E5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Pr="00D6779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</w:tbl>
    <w:p w:rsidR="00A33E54" w:rsidRDefault="00A33E54" w:rsidP="00A33E54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  <w:proofErr w:type="gramEnd"/>
    </w:p>
    <w:p w:rsidR="00A33E54" w:rsidRDefault="00A33E54" w:rsidP="00A33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2E0B18">
        <w:rPr>
          <w:rFonts w:ascii="Times New Roman" w:hAnsi="Times New Roman" w:cs="Times New Roman"/>
          <w:sz w:val="24"/>
          <w:szCs w:val="24"/>
        </w:rPr>
        <w:t>Новодугински</w:t>
      </w:r>
      <w:r>
        <w:rPr>
          <w:rFonts w:ascii="Times New Roman" w:hAnsi="Times New Roman" w:cs="Times New Roman"/>
          <w:sz w:val="24"/>
          <w:szCs w:val="24"/>
        </w:rPr>
        <w:t>й район» Смоленской области с ноября 2022г. по ноя</w:t>
      </w:r>
      <w:r w:rsidR="002E0B18">
        <w:rPr>
          <w:rFonts w:ascii="Times New Roman" w:hAnsi="Times New Roman" w:cs="Times New Roman"/>
          <w:sz w:val="24"/>
          <w:szCs w:val="24"/>
        </w:rPr>
        <w:t>брь 2023 г.  уменьшилось  на 3,7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2E0B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F1024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области; средний прирост по всем муниципальным образованиям Смоленской области за этот период составил 0,59%. За 11 месяцев 2023 года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«</w:t>
      </w:r>
      <w:r w:rsidR="002E0B18">
        <w:rPr>
          <w:rFonts w:ascii="Times New Roman" w:hAnsi="Times New Roman" w:cs="Times New Roman"/>
          <w:sz w:val="24"/>
          <w:szCs w:val="24"/>
        </w:rPr>
        <w:t>Новодугински</w:t>
      </w:r>
      <w:r>
        <w:rPr>
          <w:rFonts w:ascii="Times New Roman" w:hAnsi="Times New Roman" w:cs="Times New Roman"/>
          <w:sz w:val="24"/>
          <w:szCs w:val="24"/>
        </w:rPr>
        <w:t xml:space="preserve">й район» Смоленской области уменьшилось на </w:t>
      </w:r>
      <w:r w:rsidR="002E0B18">
        <w:rPr>
          <w:rFonts w:ascii="Times New Roman" w:hAnsi="Times New Roman" w:cs="Times New Roman"/>
          <w:sz w:val="24"/>
          <w:szCs w:val="24"/>
        </w:rPr>
        <w:t>8 ед. (-4,21</w:t>
      </w:r>
      <w:r>
        <w:rPr>
          <w:rFonts w:ascii="Times New Roman" w:hAnsi="Times New Roman" w:cs="Times New Roman"/>
          <w:sz w:val="24"/>
          <w:szCs w:val="24"/>
        </w:rPr>
        <w:t xml:space="preserve">%), что   является </w:t>
      </w:r>
      <w:r w:rsidR="00F1024B">
        <w:rPr>
          <w:rFonts w:ascii="Times New Roman" w:hAnsi="Times New Roman" w:cs="Times New Roman"/>
          <w:sz w:val="24"/>
          <w:szCs w:val="24"/>
        </w:rPr>
        <w:t>24 п</w:t>
      </w:r>
      <w:r>
        <w:rPr>
          <w:rFonts w:ascii="Times New Roman" w:hAnsi="Times New Roman" w:cs="Times New Roman"/>
          <w:bCs/>
          <w:sz w:val="24"/>
          <w:szCs w:val="24"/>
        </w:rPr>
        <w:t>оказателем среди 27 муниципальных образований Смоленской области</w:t>
      </w:r>
      <w:r>
        <w:rPr>
          <w:rFonts w:ascii="Times New Roman" w:hAnsi="Times New Roman" w:cs="Times New Roman"/>
          <w:sz w:val="24"/>
          <w:szCs w:val="24"/>
        </w:rPr>
        <w:t>. За 11 месяцев 2023 года число субъектов МСП снизилось в 14 муниципальных образованиях, среднее значение составило -0,81%.</w:t>
      </w: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B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54D63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4D63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4D63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63" w:rsidRPr="003A1025" w:rsidRDefault="00D54D6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D63" w:rsidRPr="0042427B" w:rsidRDefault="00D54D63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F33D59">
        <w:rPr>
          <w:rFonts w:ascii="Times New Roman" w:hAnsi="Times New Roman" w:cs="Times New Roman"/>
          <w:sz w:val="24"/>
          <w:szCs w:val="24"/>
        </w:rPr>
        <w:t>но</w:t>
      </w:r>
      <w:r w:rsidR="00D54D63">
        <w:rPr>
          <w:rFonts w:ascii="Times New Roman" w:hAnsi="Times New Roman" w:cs="Times New Roman"/>
          <w:sz w:val="24"/>
          <w:szCs w:val="24"/>
        </w:rPr>
        <w:t>я</w:t>
      </w:r>
      <w:r w:rsidR="00C8456D">
        <w:rPr>
          <w:rFonts w:ascii="Times New Roman" w:hAnsi="Times New Roman" w:cs="Times New Roman"/>
          <w:sz w:val="24"/>
          <w:szCs w:val="24"/>
        </w:rPr>
        <w:t>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C8456D">
        <w:rPr>
          <w:rFonts w:ascii="Times New Roman" w:hAnsi="Times New Roman" w:cs="Times New Roman"/>
          <w:sz w:val="24"/>
          <w:szCs w:val="24"/>
        </w:rPr>
        <w:t xml:space="preserve"> увеличилось на 2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C8456D">
        <w:rPr>
          <w:rFonts w:ascii="Times New Roman" w:hAnsi="Times New Roman" w:cs="Times New Roman"/>
          <w:sz w:val="24"/>
          <w:szCs w:val="24"/>
        </w:rPr>
        <w:t>рост 4,3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>1</w:t>
      </w:r>
      <w:r w:rsidR="00F33D59">
        <w:rPr>
          <w:rFonts w:ascii="Times New Roman" w:hAnsi="Times New Roman" w:cs="Times New Roman"/>
          <w:sz w:val="24"/>
          <w:szCs w:val="24"/>
        </w:rPr>
        <w:t>0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F33D59">
        <w:rPr>
          <w:rFonts w:ascii="Times New Roman" w:hAnsi="Times New Roman" w:cs="Times New Roman"/>
          <w:sz w:val="24"/>
          <w:szCs w:val="24"/>
        </w:rPr>
        <w:t>6,94</w:t>
      </w:r>
      <w:r w:rsidR="00B87FEF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D00799">
        <w:rPr>
          <w:rFonts w:ascii="Times New Roman" w:hAnsi="Times New Roman" w:cs="Times New Roman"/>
          <w:sz w:val="24"/>
          <w:szCs w:val="24"/>
        </w:rPr>
        <w:t>дека</w:t>
      </w:r>
      <w:r w:rsidR="00C8456D">
        <w:rPr>
          <w:rFonts w:ascii="Times New Roman" w:hAnsi="Times New Roman" w:cs="Times New Roman"/>
          <w:sz w:val="24"/>
          <w:szCs w:val="24"/>
        </w:rPr>
        <w:t xml:space="preserve">бря 2022 г. по </w:t>
      </w:r>
      <w:r w:rsidR="00F33D59">
        <w:rPr>
          <w:rFonts w:ascii="Times New Roman" w:hAnsi="Times New Roman" w:cs="Times New Roman"/>
          <w:sz w:val="24"/>
          <w:szCs w:val="24"/>
        </w:rPr>
        <w:t>дека</w:t>
      </w:r>
      <w:r w:rsidR="00EB1719" w:rsidRPr="005046A9">
        <w:rPr>
          <w:rFonts w:ascii="Times New Roman" w:hAnsi="Times New Roman" w:cs="Times New Roman"/>
          <w:sz w:val="24"/>
          <w:szCs w:val="24"/>
        </w:rPr>
        <w:t>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C8456D">
        <w:rPr>
          <w:rFonts w:ascii="Times New Roman" w:hAnsi="Times New Roman" w:cs="Times New Roman"/>
          <w:sz w:val="24"/>
          <w:szCs w:val="24"/>
        </w:rPr>
        <w:t>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8456D">
        <w:rPr>
          <w:rFonts w:ascii="Times New Roman" w:hAnsi="Times New Roman" w:cs="Times New Roman"/>
          <w:sz w:val="24"/>
          <w:szCs w:val="24"/>
        </w:rPr>
        <w:t>6,66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F33D59">
        <w:rPr>
          <w:rFonts w:ascii="Times New Roman" w:hAnsi="Times New Roman" w:cs="Times New Roman"/>
          <w:sz w:val="24"/>
          <w:szCs w:val="24"/>
        </w:rPr>
        <w:t>7</w:t>
      </w:r>
      <w:r w:rsidR="00D54D63">
        <w:rPr>
          <w:rFonts w:ascii="Times New Roman" w:hAnsi="Times New Roman" w:cs="Times New Roman"/>
          <w:sz w:val="24"/>
          <w:szCs w:val="24"/>
        </w:rPr>
        <w:t xml:space="preserve"> ед. или на 3,</w:t>
      </w:r>
      <w:r w:rsidR="00F33D59">
        <w:rPr>
          <w:rFonts w:ascii="Times New Roman" w:hAnsi="Times New Roman" w:cs="Times New Roman"/>
          <w:sz w:val="24"/>
          <w:szCs w:val="24"/>
        </w:rPr>
        <w:t>7</w:t>
      </w:r>
      <w:r w:rsidR="00D54D6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Новодугинский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02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02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85C" w:rsidRDefault="001D185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C9E" w:rsidRPr="0042427B" w:rsidRDefault="00181C9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997748">
        <w:rPr>
          <w:rFonts w:ascii="Times New Roman" w:hAnsi="Times New Roman" w:cs="Times New Roman"/>
          <w:sz w:val="24"/>
          <w:szCs w:val="24"/>
        </w:rPr>
        <w:t>1 дека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997748">
        <w:rPr>
          <w:rFonts w:ascii="Times New Roman" w:hAnsi="Times New Roman" w:cs="Times New Roman"/>
          <w:sz w:val="24"/>
          <w:szCs w:val="24"/>
        </w:rPr>
        <w:t>1 дека</w:t>
      </w:r>
      <w:r w:rsidR="00671591" w:rsidRPr="005046A9">
        <w:rPr>
          <w:rFonts w:ascii="Times New Roman" w:hAnsi="Times New Roman" w:cs="Times New Roman"/>
          <w:sz w:val="24"/>
          <w:szCs w:val="24"/>
        </w:rPr>
        <w:t>бр</w:t>
      </w:r>
      <w:r w:rsidR="00997748">
        <w:rPr>
          <w:rFonts w:ascii="Times New Roman" w:hAnsi="Times New Roman" w:cs="Times New Roman"/>
          <w:sz w:val="24"/>
          <w:szCs w:val="24"/>
        </w:rPr>
        <w:t>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</w:t>
            </w:r>
            <w:r w:rsidR="00A210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="00D5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1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820561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4B7848" w:rsidRPr="00B51FDB" w:rsidTr="0082056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5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A21025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2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>
        <w:rPr>
          <w:rFonts w:ascii="Times New Roman" w:hAnsi="Times New Roman" w:cs="Times New Roman"/>
          <w:color w:val="000000" w:themeColor="text1"/>
          <w:sz w:val="24"/>
          <w:szCs w:val="24"/>
        </w:rPr>
        <w:t>(+2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D54D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(+1 ед. или 1,49 %),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динамика.</w:t>
      </w:r>
    </w:p>
    <w:p w:rsidR="004B7848" w:rsidRPr="00F1024B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F10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транспортировка и хранение;   </w:t>
      </w:r>
      <w:r w:rsidRPr="00F1024B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F1024B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F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2701" w:rsidRPr="00F1024B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4"/>
        </w:rPr>
      </w:pPr>
    </w:p>
    <w:sectPr w:rsidR="00052701" w:rsidRPr="00F1024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EA" w:rsidRDefault="00BA06EA" w:rsidP="00434DB7">
      <w:pPr>
        <w:spacing w:after="0" w:line="240" w:lineRule="auto"/>
      </w:pPr>
      <w:r>
        <w:separator/>
      </w:r>
    </w:p>
  </w:endnote>
  <w:endnote w:type="continuationSeparator" w:id="0">
    <w:p w:rsidR="00BA06EA" w:rsidRDefault="00BA06E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EA" w:rsidRDefault="00BA06EA" w:rsidP="00434DB7">
      <w:pPr>
        <w:spacing w:after="0" w:line="240" w:lineRule="auto"/>
      </w:pPr>
      <w:r>
        <w:separator/>
      </w:r>
    </w:p>
  </w:footnote>
  <w:footnote w:type="continuationSeparator" w:id="0">
    <w:p w:rsidR="00BA06EA" w:rsidRDefault="00BA06E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2B9B"/>
    <w:rsid w:val="005B6093"/>
    <w:rsid w:val="005C105B"/>
    <w:rsid w:val="005C1DA1"/>
    <w:rsid w:val="005C3C7B"/>
    <w:rsid w:val="005C4E84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43D90"/>
    <w:rsid w:val="00753584"/>
    <w:rsid w:val="007637C2"/>
    <w:rsid w:val="00767A09"/>
    <w:rsid w:val="00781A4A"/>
    <w:rsid w:val="007822C7"/>
    <w:rsid w:val="007849C2"/>
    <w:rsid w:val="00785F6D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06183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FCC"/>
    <w:rsid w:val="00A45F08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4D63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644E-2"/>
                </c:manualLayout>
              </c:layout>
              <c:showVal val="1"/>
            </c:dLbl>
            <c:dLbl>
              <c:idx val="1"/>
              <c:layout>
                <c:manualLayout>
                  <c:x val="-5.7496047146758803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792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792E-2"/>
                  <c:y val="5.1587301587301709E-2"/>
                </c:manualLayout>
              </c:layout>
              <c:showVal val="1"/>
            </c:dLbl>
            <c:dLbl>
              <c:idx val="5"/>
              <c:layout>
                <c:manualLayout>
                  <c:x val="-8.6244070720138035E-3"/>
                  <c:y val="5.1587301587301709E-2"/>
                </c:manualLayout>
              </c:layout>
              <c:showVal val="1"/>
            </c:dLbl>
            <c:dLbl>
              <c:idx val="6"/>
              <c:layout>
                <c:manualLayout>
                  <c:x val="-8.6244070720138035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792E-2"/>
                  <c:y val="6.7460317460317581E-2"/>
                </c:manualLayout>
              </c:layout>
              <c:showVal val="1"/>
            </c:dLbl>
            <c:dLbl>
              <c:idx val="8"/>
              <c:layout>
                <c:manualLayout>
                  <c:x val="-8.6244070720138035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792E-2"/>
                  <c:y val="5.5555555555555483E-2"/>
                </c:manualLayout>
              </c:layout>
              <c:showVal val="1"/>
            </c:dLbl>
            <c:dLbl>
              <c:idx val="10"/>
              <c:layout>
                <c:manualLayout>
                  <c:x val="-8.6244070720138035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423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035E-3"/>
                  <c:y val="6.349206349206361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83E-2"/>
                  <c:y val="5.9523809523809597E-2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01.10.2022</c:v>
                </c:pt>
                <c:pt idx="1">
                  <c:v>01.11.2022</c:v>
                </c:pt>
                <c:pt idx="2">
                  <c:v>01.12.2022</c:v>
                </c:pt>
                <c:pt idx="3">
                  <c:v>01.01.2023</c:v>
                </c:pt>
                <c:pt idx="4">
                  <c:v>01.02.2023</c:v>
                </c:pt>
                <c:pt idx="5">
                  <c:v>01.03.2023</c:v>
                </c:pt>
                <c:pt idx="6">
                  <c:v>01.04.2023</c:v>
                </c:pt>
                <c:pt idx="7">
                  <c:v>01.05.2023</c:v>
                </c:pt>
                <c:pt idx="8">
                  <c:v>01.06.2023</c:v>
                </c:pt>
                <c:pt idx="9">
                  <c:v>01.07.2023</c:v>
                </c:pt>
                <c:pt idx="10">
                  <c:v>01.08.2023</c:v>
                </c:pt>
                <c:pt idx="11">
                  <c:v>01.09.2023</c:v>
                </c:pt>
                <c:pt idx="12">
                  <c:v>01.10.2023</c:v>
                </c:pt>
                <c:pt idx="13">
                  <c:v>01.11.2023</c:v>
                </c:pt>
                <c:pt idx="14">
                  <c:v>01.122023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46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8803E-3"/>
                  <c:y val="4.7619047619047644E-2"/>
                </c:manualLayout>
              </c:layout>
              <c:showVal val="1"/>
            </c:dLbl>
            <c:dLbl>
              <c:idx val="1"/>
              <c:layout>
                <c:manualLayout>
                  <c:x val="-7.1870058933448423E-3"/>
                  <c:y val="4.7619047619047644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644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035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8803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792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792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518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644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621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683E-2"/>
                  <c:y val="5.1587301587301577E-2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01.10.2022</c:v>
                </c:pt>
                <c:pt idx="1">
                  <c:v>01.11.2022</c:v>
                </c:pt>
                <c:pt idx="2">
                  <c:v>01.12.2022</c:v>
                </c:pt>
                <c:pt idx="3">
                  <c:v>01.01.2023</c:v>
                </c:pt>
                <c:pt idx="4">
                  <c:v>01.02.2023</c:v>
                </c:pt>
                <c:pt idx="5">
                  <c:v>01.03.2023</c:v>
                </c:pt>
                <c:pt idx="6">
                  <c:v>01.04.2023</c:v>
                </c:pt>
                <c:pt idx="7">
                  <c:v>01.05.2023</c:v>
                </c:pt>
                <c:pt idx="8">
                  <c:v>01.06.2023</c:v>
                </c:pt>
                <c:pt idx="9">
                  <c:v>01.07.2023</c:v>
                </c:pt>
                <c:pt idx="10">
                  <c:v>01.08.2023</c:v>
                </c:pt>
                <c:pt idx="11">
                  <c:v>01.09.2023</c:v>
                </c:pt>
                <c:pt idx="12">
                  <c:v>01.10.2023</c:v>
                </c:pt>
                <c:pt idx="13">
                  <c:v>01.11.2023</c:v>
                </c:pt>
                <c:pt idx="14">
                  <c:v>01.122023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137</c:v>
                </c:pt>
                <c:pt idx="1">
                  <c:v>139</c:v>
                </c:pt>
                <c:pt idx="2">
                  <c:v>142</c:v>
                </c:pt>
                <c:pt idx="3">
                  <c:v>144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</c:numCache>
            </c:numRef>
          </c:val>
        </c:ser>
        <c:marker val="1"/>
        <c:axId val="26874624"/>
        <c:axId val="26876160"/>
      </c:lineChart>
      <c:catAx>
        <c:axId val="26874624"/>
        <c:scaling>
          <c:orientation val="minMax"/>
        </c:scaling>
        <c:axPos val="b"/>
        <c:numFmt formatCode="dd/mm/yyyy" sourceLinked="1"/>
        <c:tickLblPos val="nextTo"/>
        <c:crossAx val="26876160"/>
        <c:crosses val="autoZero"/>
        <c:auto val="1"/>
        <c:lblAlgn val="ctr"/>
        <c:lblOffset val="100"/>
      </c:catAx>
      <c:valAx>
        <c:axId val="26876160"/>
        <c:scaling>
          <c:orientation val="minMax"/>
        </c:scaling>
        <c:axPos val="l"/>
        <c:majorGridlines/>
        <c:numFmt formatCode="General" sourceLinked="1"/>
        <c:tickLblPos val="nextTo"/>
        <c:crossAx val="2687462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5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319"/>
          <c:w val="0.55312160054067883"/>
          <c:h val="0.55672180030751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35</c:v>
                </c:pt>
                <c:pt idx="2">
                  <c:v>5</c:v>
                </c:pt>
                <c:pt idx="3">
                  <c:v>12</c:v>
                </c:pt>
                <c:pt idx="4">
                  <c:v>27</c:v>
                </c:pt>
                <c:pt idx="5">
                  <c:v>31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C59A-5F90-4B67-A64C-690C8D8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39</cp:revision>
  <cp:lastPrinted>2023-11-20T08:14:00Z</cp:lastPrinted>
  <dcterms:created xsi:type="dcterms:W3CDTF">2023-09-20T12:43:00Z</dcterms:created>
  <dcterms:modified xsi:type="dcterms:W3CDTF">2023-12-19T12:57:00Z</dcterms:modified>
</cp:coreProperties>
</file>