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ский район»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AF" w:rsidRPr="00D2542A" w:rsidRDefault="003152AF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3152AF" w:rsidRPr="00D2542A" w:rsidTr="00DC638F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11,27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6369D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9,05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3152AF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</w:t>
            </w:r>
            <w:proofErr w:type="spellStart"/>
            <w:r w:rsidRPr="003152A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52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7,14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6D237C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6D237C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152A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3152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52AF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A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3152A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C38E0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9A2F5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9A2F5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9A2F5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-0,24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-1,14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9A2F5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-1,25</w:t>
            </w:r>
          </w:p>
        </w:tc>
      </w:tr>
      <w:tr w:rsidR="003152AF" w:rsidRPr="00D2542A" w:rsidTr="00DC638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3152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9A2F5F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-3,06</w:t>
            </w:r>
          </w:p>
        </w:tc>
      </w:tr>
      <w:tr w:rsidR="003152AF" w:rsidRPr="00D2542A" w:rsidTr="00DC638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2AF" w:rsidRPr="00D2542A" w:rsidRDefault="003152AF" w:rsidP="00DC638F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52AF" w:rsidRPr="00D2542A" w:rsidRDefault="003152AF" w:rsidP="00DC6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2AF" w:rsidRPr="00D2542A" w:rsidRDefault="003152AF" w:rsidP="00DC63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3,34</w:t>
            </w:r>
          </w:p>
        </w:tc>
      </w:tr>
    </w:tbl>
    <w:p w:rsidR="003152AF" w:rsidRPr="00752B05" w:rsidRDefault="003152AF" w:rsidP="003152AF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3152AF" w:rsidRPr="00F65339" w:rsidRDefault="003152AF" w:rsidP="00315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501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10,02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4,40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Дорогобужском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3,92%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1,25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3,06%,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или -0,52%,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- 2 или -0,24%,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– 1 ед. или 1,14%..</w:t>
      </w:r>
    </w:p>
    <w:p w:rsidR="003152AF" w:rsidRPr="00C32C8F" w:rsidRDefault="003152AF" w:rsidP="00315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9,69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моленске +436 или 2,13%, Вяземский район +109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4,52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proofErr w:type="gramStart"/>
      <w:r w:rsidRPr="00C32C8F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proofErr w:type="gramEnd"/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3,06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3 ед. или 3,33%,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или 0,41%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52AF" w:rsidRPr="00FB23F8" w:rsidRDefault="003152AF" w:rsidP="003152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3,02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1271 </w:t>
      </w:r>
      <w:r w:rsidRPr="00E61BC6">
        <w:rPr>
          <w:rFonts w:ascii="Times New Roman" w:hAnsi="Times New Roman" w:cs="Times New Roman"/>
          <w:sz w:val="24"/>
          <w:szCs w:val="24"/>
        </w:rPr>
        <w:t>ед. или на 3</w:t>
      </w:r>
      <w:r>
        <w:rPr>
          <w:rFonts w:ascii="Times New Roman" w:hAnsi="Times New Roman" w:cs="Times New Roman"/>
          <w:sz w:val="24"/>
          <w:szCs w:val="24"/>
        </w:rPr>
        <w:t>,34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3152AF" w:rsidRPr="009E75A5" w:rsidRDefault="003152AF" w:rsidP="003152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Новодугин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ский район» Смоленской области, 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декабря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 г. по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декабрь </w:t>
      </w:r>
      <w:r w:rsidRPr="009E75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2024 г. количество увеличилось на </w:t>
      </w:r>
      <w:r w:rsidRPr="000707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7,1</w:t>
      </w:r>
      <w:r w:rsidR="007364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707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(13 ед.). За 11 месяцев 2024 года число субъектов МСП увеличилось также на 7,1</w:t>
      </w:r>
      <w:r w:rsidR="007364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0707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% (13 ед.).</w:t>
      </w: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6C0" w:rsidRPr="003227E3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27E3">
        <w:rPr>
          <w:rFonts w:ascii="Times New Roman" w:hAnsi="Times New Roman" w:cs="Times New Roman"/>
          <w:b/>
          <w:bCs/>
          <w:sz w:val="20"/>
          <w:szCs w:val="20"/>
        </w:rPr>
        <w:t>Динамика количества субъектов МСП</w:t>
      </w:r>
    </w:p>
    <w:p w:rsidR="008746C0" w:rsidRPr="003227E3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27E3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DB37A6" w:rsidRPr="003227E3" w:rsidTr="008D60A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3227E3" w:rsidRDefault="00DB37A6" w:rsidP="005131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DE3E3D"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3227E3" w:rsidRDefault="00DB37A6" w:rsidP="00742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295EE6"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74291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Pr="00322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B37A6" w:rsidRPr="003227E3" w:rsidTr="008D60A3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5131C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5131C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5131C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5131C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5131C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13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A3E9E"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13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13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07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125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3E9E"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227E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227E3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7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0707D5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07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227E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227E3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</w:t>
            </w:r>
            <w:r w:rsidR="0051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D5F58" w:rsidP="000F3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7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0707D5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3227E3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3227E3" w:rsidTr="008D60A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227E3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E3E3D" w:rsidP="000707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C1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7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3E9E"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3227E3"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27E3"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3227E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3227E3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70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7A6" w:rsidRPr="003227E3" w:rsidRDefault="000707D5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</w:tbl>
    <w:p w:rsidR="00DB37A6" w:rsidRPr="003227E3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7A6" w:rsidRPr="004F6E5E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FF2FE2" w:rsidRPr="004F6E5E">
        <w:rPr>
          <w:rFonts w:ascii="Times New Roman" w:hAnsi="Times New Roman" w:cs="Times New Roman"/>
          <w:sz w:val="24"/>
          <w:szCs w:val="24"/>
        </w:rPr>
        <w:t>но</w:t>
      </w:r>
      <w:r w:rsidR="001A3E9E" w:rsidRPr="004F6E5E">
        <w:rPr>
          <w:rFonts w:ascii="Times New Roman" w:hAnsi="Times New Roman" w:cs="Times New Roman"/>
          <w:sz w:val="24"/>
          <w:szCs w:val="24"/>
        </w:rPr>
        <w:t>ябрь</w:t>
      </w:r>
      <w:r w:rsidRPr="004F6E5E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4F6E5E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«Новодугинский район» Смоленской области </w:t>
      </w:r>
      <w:r w:rsidRPr="004F6E5E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 w:rsidR="00FF2FE2" w:rsidRPr="004F6E5E">
        <w:rPr>
          <w:rFonts w:ascii="Times New Roman" w:hAnsi="Times New Roman" w:cs="Times New Roman"/>
          <w:sz w:val="24"/>
          <w:szCs w:val="24"/>
        </w:rPr>
        <w:t>1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ед., рост </w:t>
      </w:r>
      <w:r w:rsidR="00FF2FE2" w:rsidRPr="004F6E5E">
        <w:rPr>
          <w:rFonts w:ascii="Times New Roman" w:hAnsi="Times New Roman" w:cs="Times New Roman"/>
          <w:sz w:val="24"/>
          <w:szCs w:val="24"/>
        </w:rPr>
        <w:t>2,1</w:t>
      </w:r>
      <w:r w:rsidRPr="004F6E5E">
        <w:rPr>
          <w:rFonts w:ascii="Times New Roman" w:hAnsi="Times New Roman" w:cs="Times New Roman"/>
          <w:sz w:val="24"/>
          <w:szCs w:val="24"/>
        </w:rPr>
        <w:t xml:space="preserve"> %, при этом количество ИП </w:t>
      </w:r>
      <w:r w:rsidR="003D5F58" w:rsidRPr="004F6E5E">
        <w:rPr>
          <w:rFonts w:ascii="Times New Roman" w:hAnsi="Times New Roman" w:cs="Times New Roman"/>
          <w:sz w:val="24"/>
          <w:szCs w:val="24"/>
        </w:rPr>
        <w:t>возросло до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FF2FE2" w:rsidRPr="004F6E5E">
        <w:rPr>
          <w:rFonts w:ascii="Times New Roman" w:hAnsi="Times New Roman" w:cs="Times New Roman"/>
          <w:sz w:val="24"/>
          <w:szCs w:val="24"/>
        </w:rPr>
        <w:t>7</w:t>
      </w:r>
      <w:r w:rsidR="003D5F58" w:rsidRPr="004F6E5E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3227E3" w:rsidRPr="004F6E5E">
        <w:rPr>
          <w:rFonts w:ascii="Times New Roman" w:hAnsi="Times New Roman" w:cs="Times New Roman"/>
          <w:sz w:val="24"/>
          <w:szCs w:val="24"/>
        </w:rPr>
        <w:t>1</w:t>
      </w:r>
      <w:r w:rsidR="00FF2FE2" w:rsidRPr="004F6E5E">
        <w:rPr>
          <w:rFonts w:ascii="Times New Roman" w:hAnsi="Times New Roman" w:cs="Times New Roman"/>
          <w:sz w:val="24"/>
          <w:szCs w:val="24"/>
        </w:rPr>
        <w:t>2</w:t>
      </w:r>
      <w:r w:rsidR="003D5F58" w:rsidRPr="004F6E5E">
        <w:rPr>
          <w:rFonts w:ascii="Times New Roman" w:hAnsi="Times New Roman" w:cs="Times New Roman"/>
          <w:sz w:val="24"/>
          <w:szCs w:val="24"/>
        </w:rPr>
        <w:t xml:space="preserve"> ед. больше, чем на 1 января 2024 года</w:t>
      </w:r>
      <w:r w:rsidRPr="004F6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7A6" w:rsidRPr="005046A9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3D5F58" w:rsidRPr="004F6E5E">
        <w:rPr>
          <w:rFonts w:ascii="Times New Roman" w:hAnsi="Times New Roman" w:cs="Times New Roman"/>
          <w:sz w:val="24"/>
          <w:szCs w:val="24"/>
        </w:rPr>
        <w:t xml:space="preserve">10 </w:t>
      </w:r>
      <w:r w:rsidR="00FF2FE2" w:rsidRPr="004F6E5E">
        <w:rPr>
          <w:rFonts w:ascii="Times New Roman" w:hAnsi="Times New Roman" w:cs="Times New Roman"/>
          <w:sz w:val="24"/>
          <w:szCs w:val="24"/>
        </w:rPr>
        <w:t>дека</w:t>
      </w:r>
      <w:r w:rsidR="003D5F58" w:rsidRPr="004F6E5E">
        <w:rPr>
          <w:rFonts w:ascii="Times New Roman" w:hAnsi="Times New Roman" w:cs="Times New Roman"/>
          <w:sz w:val="24"/>
          <w:szCs w:val="24"/>
        </w:rPr>
        <w:t>бря</w:t>
      </w:r>
      <w:r w:rsidRPr="004F6E5E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3227E3" w:rsidRPr="004F6E5E">
        <w:rPr>
          <w:rFonts w:ascii="Times New Roman" w:hAnsi="Times New Roman" w:cs="Times New Roman"/>
          <w:sz w:val="24"/>
          <w:szCs w:val="24"/>
        </w:rPr>
        <w:t xml:space="preserve">10 </w:t>
      </w:r>
      <w:r w:rsidR="00FF2FE2" w:rsidRPr="004F6E5E">
        <w:rPr>
          <w:rFonts w:ascii="Times New Roman" w:hAnsi="Times New Roman" w:cs="Times New Roman"/>
          <w:sz w:val="24"/>
          <w:szCs w:val="24"/>
        </w:rPr>
        <w:t>дека</w:t>
      </w:r>
      <w:r w:rsidR="003D5F58" w:rsidRPr="004F6E5E">
        <w:rPr>
          <w:rFonts w:ascii="Times New Roman" w:hAnsi="Times New Roman" w:cs="Times New Roman"/>
          <w:sz w:val="24"/>
          <w:szCs w:val="24"/>
        </w:rPr>
        <w:t>бря</w:t>
      </w:r>
      <w:r w:rsidRPr="004F6E5E">
        <w:rPr>
          <w:rFonts w:ascii="Times New Roman" w:hAnsi="Times New Roman" w:cs="Times New Roman"/>
          <w:sz w:val="24"/>
          <w:szCs w:val="24"/>
        </w:rPr>
        <w:t xml:space="preserve"> 2024 г.) </w:t>
      </w:r>
      <w:r w:rsidR="00FF2FE2" w:rsidRPr="004F6E5E">
        <w:rPr>
          <w:rFonts w:ascii="Times New Roman" w:hAnsi="Times New Roman" w:cs="Times New Roman"/>
          <w:sz w:val="24"/>
          <w:szCs w:val="24"/>
        </w:rPr>
        <w:t xml:space="preserve"> не </w:t>
      </w:r>
      <w:r w:rsidRPr="004F6E5E">
        <w:rPr>
          <w:rFonts w:ascii="Times New Roman" w:hAnsi="Times New Roman" w:cs="Times New Roman"/>
          <w:sz w:val="24"/>
          <w:szCs w:val="24"/>
        </w:rPr>
        <w:t>наблюдается увеличени</w:t>
      </w:r>
      <w:r w:rsidR="00E9558F" w:rsidRPr="004F6E5E">
        <w:rPr>
          <w:rFonts w:ascii="Times New Roman" w:hAnsi="Times New Roman" w:cs="Times New Roman"/>
          <w:sz w:val="24"/>
          <w:szCs w:val="24"/>
        </w:rPr>
        <w:t>я</w:t>
      </w:r>
      <w:r w:rsidR="00FF2FE2" w:rsidRPr="004F6E5E">
        <w:rPr>
          <w:rFonts w:ascii="Times New Roman" w:hAnsi="Times New Roman" w:cs="Times New Roman"/>
          <w:sz w:val="24"/>
          <w:szCs w:val="24"/>
        </w:rPr>
        <w:t xml:space="preserve"> числа юридических лиц, но значительный рост </w:t>
      </w:r>
      <w:r w:rsidR="00E9558F" w:rsidRPr="004F6E5E">
        <w:rPr>
          <w:rFonts w:ascii="Times New Roman" w:hAnsi="Times New Roman" w:cs="Times New Roman"/>
          <w:sz w:val="24"/>
          <w:szCs w:val="24"/>
        </w:rPr>
        <w:t xml:space="preserve"> ч</w:t>
      </w:r>
      <w:r w:rsidRPr="004F6E5E">
        <w:rPr>
          <w:rFonts w:ascii="Times New Roman" w:hAnsi="Times New Roman" w:cs="Times New Roman"/>
          <w:sz w:val="24"/>
          <w:szCs w:val="24"/>
        </w:rPr>
        <w:t xml:space="preserve">исла индивидуальных предпринимателей (на </w:t>
      </w:r>
      <w:r w:rsidR="003D5F58" w:rsidRPr="004F6E5E">
        <w:rPr>
          <w:rFonts w:ascii="Times New Roman" w:hAnsi="Times New Roman" w:cs="Times New Roman"/>
          <w:sz w:val="24"/>
          <w:szCs w:val="24"/>
        </w:rPr>
        <w:t>1</w:t>
      </w:r>
      <w:r w:rsidR="004F6E5E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D5F58" w:rsidRPr="004F6E5E">
        <w:rPr>
          <w:rFonts w:ascii="Times New Roman" w:hAnsi="Times New Roman" w:cs="Times New Roman"/>
          <w:sz w:val="24"/>
          <w:szCs w:val="24"/>
        </w:rPr>
        <w:t>1</w:t>
      </w:r>
      <w:r w:rsidR="00FF2FE2" w:rsidRPr="004F6E5E">
        <w:rPr>
          <w:rFonts w:ascii="Times New Roman" w:hAnsi="Times New Roman" w:cs="Times New Roman"/>
          <w:sz w:val="24"/>
          <w:szCs w:val="24"/>
        </w:rPr>
        <w:t>1,4</w:t>
      </w:r>
      <w:r w:rsidRPr="004F6E5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56C13" w:rsidRPr="004F6E5E">
        <w:rPr>
          <w:rFonts w:ascii="Times New Roman" w:hAnsi="Times New Roman" w:cs="Times New Roman"/>
          <w:sz w:val="24"/>
          <w:szCs w:val="24"/>
        </w:rPr>
        <w:t>дека</w:t>
      </w:r>
      <w:r w:rsidRPr="004F6E5E">
        <w:rPr>
          <w:rFonts w:ascii="Times New Roman" w:hAnsi="Times New Roman" w:cs="Times New Roman"/>
          <w:sz w:val="24"/>
          <w:szCs w:val="24"/>
        </w:rPr>
        <w:t xml:space="preserve">бря  2023 по 10 </w:t>
      </w:r>
      <w:r w:rsidR="00D56C13" w:rsidRPr="004F6E5E">
        <w:rPr>
          <w:rFonts w:ascii="Times New Roman" w:hAnsi="Times New Roman" w:cs="Times New Roman"/>
          <w:sz w:val="24"/>
          <w:szCs w:val="24"/>
        </w:rPr>
        <w:t>дека</w:t>
      </w:r>
      <w:r w:rsidRPr="004F6E5E">
        <w:rPr>
          <w:rFonts w:ascii="Times New Roman" w:hAnsi="Times New Roman" w:cs="Times New Roman"/>
          <w:sz w:val="24"/>
          <w:szCs w:val="24"/>
        </w:rPr>
        <w:t>бря 2024 года увеличилась на 1</w:t>
      </w:r>
      <w:r w:rsidR="000707D5" w:rsidRPr="004F6E5E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4A72DD" w:rsidRPr="004F6E5E">
        <w:rPr>
          <w:rFonts w:ascii="Times New Roman" w:hAnsi="Times New Roman" w:cs="Times New Roman"/>
          <w:sz w:val="24"/>
          <w:szCs w:val="24"/>
        </w:rPr>
        <w:t>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января 2024 года по </w:t>
      </w:r>
      <w:r w:rsidR="00D56C13" w:rsidRPr="004F6E5E">
        <w:rPr>
          <w:rFonts w:ascii="Times New Roman" w:hAnsi="Times New Roman" w:cs="Times New Roman"/>
          <w:sz w:val="24"/>
          <w:szCs w:val="24"/>
        </w:rPr>
        <w:t>дека</w:t>
      </w:r>
      <w:r w:rsidRPr="004F6E5E">
        <w:rPr>
          <w:rFonts w:ascii="Times New Roman" w:hAnsi="Times New Roman" w:cs="Times New Roman"/>
          <w:sz w:val="24"/>
          <w:szCs w:val="24"/>
        </w:rPr>
        <w:t>брь  2024 года число индивидуальных предпринимателей  воз</w:t>
      </w:r>
      <w:r w:rsidR="00D56C13" w:rsidRPr="004F6E5E">
        <w:rPr>
          <w:rFonts w:ascii="Times New Roman" w:hAnsi="Times New Roman" w:cs="Times New Roman"/>
          <w:sz w:val="24"/>
          <w:szCs w:val="24"/>
        </w:rPr>
        <w:t>росло на 1</w:t>
      </w:r>
      <w:r w:rsidR="004F6E5E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9558F" w:rsidRPr="004F6E5E">
        <w:rPr>
          <w:rFonts w:ascii="Times New Roman" w:hAnsi="Times New Roman" w:cs="Times New Roman"/>
          <w:sz w:val="24"/>
          <w:szCs w:val="24"/>
        </w:rPr>
        <w:t>ов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D56C13" w:rsidRPr="004F6E5E">
        <w:rPr>
          <w:rFonts w:ascii="Times New Roman" w:hAnsi="Times New Roman" w:cs="Times New Roman"/>
          <w:sz w:val="24"/>
          <w:szCs w:val="24"/>
        </w:rPr>
        <w:t>дека</w:t>
      </w:r>
      <w:r w:rsidRPr="004F6E5E">
        <w:rPr>
          <w:rFonts w:ascii="Times New Roman" w:hAnsi="Times New Roman" w:cs="Times New Roman"/>
          <w:sz w:val="24"/>
          <w:szCs w:val="24"/>
        </w:rPr>
        <w:t>бря 2024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D56C13" w:rsidRPr="004F6E5E">
        <w:rPr>
          <w:rFonts w:ascii="Times New Roman" w:hAnsi="Times New Roman" w:cs="Times New Roman"/>
          <w:sz w:val="24"/>
          <w:szCs w:val="24"/>
        </w:rPr>
        <w:t>7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«Новодугинский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D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466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D56C1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8D60A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C13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C1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3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634BD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583F49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3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583F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8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34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583F49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 по отраслям, в которых отмечено увеличение числа занятых субъектов МСП с начала года, стали: сельское хозяйство  –(+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11,1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строительство (+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A4D50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15,8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D56B5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, транспортировка и хранение (+</w:t>
      </w:r>
      <w:r w:rsidR="00634BD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3 ед., рост 8,6</w:t>
      </w:r>
      <w:r w:rsidR="00D56B51"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обрабатывающие производства (+1 ед., рост 9,1 %)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3A2F01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E22617" w:rsidP="00634BD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  <w:r w:rsidR="00634B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A2F01"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C51B2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34,8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63AA9" w:rsidP="00663AA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3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634BD1" w:rsidP="004427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3A2F01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0011E8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lastRenderedPageBreak/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10.01.2024г. было зарегистрировано 23 вновь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10.1</w:t>
      </w:r>
      <w:r w:rsidR="00634BD1">
        <w:rPr>
          <w:rFonts w:ascii="Times New Roman" w:eastAsia="Calibri" w:hAnsi="Times New Roman" w:cs="Times New Roman"/>
          <w:sz w:val="24"/>
          <w:szCs w:val="24"/>
        </w:rPr>
        <w:t>2</w:t>
      </w:r>
      <w:r w:rsidRPr="00CF62DD">
        <w:rPr>
          <w:rFonts w:ascii="Times New Roman" w:eastAsia="Calibri" w:hAnsi="Times New Roman" w:cs="Times New Roman"/>
          <w:sz w:val="24"/>
          <w:szCs w:val="24"/>
        </w:rPr>
        <w:t>.2024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634BD1">
        <w:rPr>
          <w:rFonts w:ascii="Times New Roman" w:eastAsia="Calibri" w:hAnsi="Times New Roman" w:cs="Times New Roman"/>
          <w:sz w:val="24"/>
          <w:szCs w:val="24"/>
        </w:rPr>
        <w:t>31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+</w:t>
      </w:r>
      <w:r w:rsidR="00634BD1">
        <w:rPr>
          <w:rFonts w:ascii="Times New Roman" w:eastAsia="Calibri" w:hAnsi="Times New Roman" w:cs="Times New Roman"/>
          <w:sz w:val="24"/>
          <w:szCs w:val="24"/>
        </w:rPr>
        <w:t>8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634BD1">
        <w:rPr>
          <w:rFonts w:ascii="Times New Roman" w:eastAsia="Calibri" w:hAnsi="Times New Roman" w:cs="Times New Roman"/>
          <w:sz w:val="24"/>
          <w:szCs w:val="24"/>
        </w:rPr>
        <w:t>34,8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%, в том числе +</w:t>
      </w:r>
      <w:r w:rsidR="00634BD1">
        <w:rPr>
          <w:rFonts w:ascii="Times New Roman" w:eastAsia="Calibri" w:hAnsi="Times New Roman" w:cs="Times New Roman"/>
          <w:sz w:val="24"/>
          <w:szCs w:val="24"/>
        </w:rPr>
        <w:t>76,5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з</w:t>
      </w:r>
      <w:r w:rsidR="009B63B8">
        <w:rPr>
          <w:rFonts w:ascii="Times New Roman" w:eastAsia="Calibri" w:hAnsi="Times New Roman" w:cs="Times New Roman"/>
          <w:sz w:val="24"/>
          <w:szCs w:val="24"/>
        </w:rPr>
        <w:t>анимали 73,9 %, в текущем – 96,8 % (рост на 22,9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466174" w:rsidP="00764B4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10.1</w:t>
            </w:r>
            <w:r w:rsidR="00764B43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466174" w:rsidP="00634BD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10.1</w:t>
            </w:r>
            <w:r w:rsidR="00634BD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6A513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E0C5E" w:rsidRPr="00EE0C5E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764B4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A513B">
              <w:rPr>
                <w:rFonts w:ascii="Times New Roman" w:hAnsi="Times New Roman"/>
                <w:b/>
                <w:sz w:val="18"/>
                <w:szCs w:val="18"/>
              </w:rPr>
              <w:t>9,0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В 2</w:t>
            </w:r>
            <w:r w:rsidR="00870EEA" w:rsidRPr="00870EEA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A513B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 xml:space="preserve">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663AA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EEA">
              <w:rPr>
                <w:rFonts w:ascii="Times New Roman" w:hAnsi="Times New Roman"/>
                <w:sz w:val="18"/>
                <w:szCs w:val="18"/>
              </w:rPr>
              <w:t>2</w:t>
            </w:r>
            <w:r w:rsidR="006A513B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764B4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2 р. 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41,2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6A513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9,7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870EEA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6A513B">
              <w:rPr>
                <w:rFonts w:ascii="Times New Roman" w:hAnsi="Times New Roman"/>
                <w:b/>
                <w:sz w:val="18"/>
                <w:szCs w:val="18"/>
              </w:rPr>
              <w:t>57,1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870EEA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A513B">
              <w:rPr>
                <w:rFonts w:ascii="Times New Roman" w:hAnsi="Times New Roman"/>
                <w:b/>
                <w:sz w:val="18"/>
                <w:szCs w:val="18"/>
              </w:rPr>
              <w:t>6,1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 w:rsidR="00C7050E" w:rsidRPr="00870EE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 xml:space="preserve">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3A2F01" w:rsidRPr="00752B05" w:rsidRDefault="004F519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EE0C5E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6A513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764B43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A513B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EE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E0C5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6A513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6A513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82,3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B24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</w:t>
      </w:r>
      <w:r w:rsidR="00764B43" w:rsidRPr="00173B24">
        <w:rPr>
          <w:rFonts w:ascii="Times New Roman" w:eastAsia="Calibri" w:hAnsi="Times New Roman" w:cs="Times New Roman"/>
          <w:sz w:val="24"/>
          <w:szCs w:val="24"/>
        </w:rPr>
        <w:t>1</w:t>
      </w:r>
      <w:r w:rsidR="009B63B8" w:rsidRPr="00173B24">
        <w:rPr>
          <w:rFonts w:ascii="Times New Roman" w:eastAsia="Calibri" w:hAnsi="Times New Roman" w:cs="Times New Roman"/>
          <w:sz w:val="24"/>
          <w:szCs w:val="24"/>
        </w:rPr>
        <w:t>2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764B43" w:rsidRPr="00173B24">
        <w:rPr>
          <w:rFonts w:ascii="Times New Roman" w:eastAsia="Calibri" w:hAnsi="Times New Roman" w:cs="Times New Roman"/>
          <w:sz w:val="24"/>
          <w:szCs w:val="24"/>
        </w:rPr>
        <w:t>1</w:t>
      </w:r>
      <w:r w:rsidR="009B63B8" w:rsidRPr="00173B24">
        <w:rPr>
          <w:rFonts w:ascii="Times New Roman" w:eastAsia="Calibri" w:hAnsi="Times New Roman" w:cs="Times New Roman"/>
          <w:sz w:val="24"/>
          <w:szCs w:val="24"/>
        </w:rPr>
        <w:t>2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.2024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173B24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9B63B8" w:rsidRPr="00173B24">
        <w:rPr>
          <w:rFonts w:ascii="Times New Roman" w:eastAsia="Calibri" w:hAnsi="Times New Roman" w:cs="Times New Roman"/>
          <w:sz w:val="24"/>
          <w:szCs w:val="24"/>
        </w:rPr>
        <w:t>9</w:t>
      </w:r>
      <w:r w:rsidR="003174FB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торговля (</w:t>
      </w:r>
      <w:r w:rsidR="00764B43" w:rsidRPr="00173B24">
        <w:rPr>
          <w:rFonts w:ascii="Times New Roman" w:eastAsia="Calibri" w:hAnsi="Times New Roman" w:cs="Times New Roman"/>
          <w:sz w:val="24"/>
          <w:szCs w:val="24"/>
        </w:rPr>
        <w:t>8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E0C5E" w:rsidRPr="00173B24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строительство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1)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, п</w:t>
      </w:r>
      <w:r w:rsidR="006A513B" w:rsidRPr="00173B24">
        <w:rPr>
          <w:rFonts w:ascii="Times New Roman" w:hAnsi="Times New Roman"/>
          <w:sz w:val="24"/>
          <w:szCs w:val="24"/>
        </w:rPr>
        <w:t>редоставление прочих видов услуг, деятельность по предоставлению прочих персональных услуг (2)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 Вместе с тем было открыто существенно меньше субъектов МСП в сфере сельского хозяйства (</w:t>
      </w:r>
      <w:r w:rsidR="006A513B" w:rsidRPr="00173B24">
        <w:rPr>
          <w:rFonts w:ascii="Times New Roman" w:eastAsia="Calibri" w:hAnsi="Times New Roman" w:cs="Times New Roman"/>
          <w:sz w:val="24"/>
          <w:szCs w:val="24"/>
        </w:rPr>
        <w:t>3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E0C5E" w:rsidRPr="00173B24">
        <w:rPr>
          <w:rFonts w:ascii="Times New Roman" w:eastAsia="Calibri" w:hAnsi="Times New Roman" w:cs="Times New Roman"/>
          <w:sz w:val="24"/>
          <w:szCs w:val="24"/>
        </w:rPr>
        <w:t>7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BD1D28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BD1D2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A2330">
        <w:rPr>
          <w:rFonts w:ascii="Times New Roman" w:hAnsi="Times New Roman" w:cs="Times New Roman"/>
          <w:sz w:val="24"/>
          <w:szCs w:val="24"/>
        </w:rPr>
        <w:t>дека</w:t>
      </w:r>
      <w:r w:rsidR="00C7050E" w:rsidRPr="00BD1D28">
        <w:rPr>
          <w:rFonts w:ascii="Times New Roman" w:hAnsi="Times New Roman" w:cs="Times New Roman"/>
          <w:sz w:val="24"/>
          <w:szCs w:val="24"/>
        </w:rPr>
        <w:t>бря</w:t>
      </w:r>
      <w:r w:rsidRPr="00BD1D28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6A2330">
        <w:rPr>
          <w:rFonts w:ascii="Times New Roman" w:hAnsi="Times New Roman" w:cs="Times New Roman"/>
          <w:sz w:val="24"/>
          <w:szCs w:val="24"/>
        </w:rPr>
        <w:t>дека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брь </w:t>
      </w:r>
      <w:r w:rsidRPr="00BD1D28">
        <w:rPr>
          <w:rFonts w:ascii="Times New Roman" w:hAnsi="Times New Roman" w:cs="Times New Roman"/>
          <w:sz w:val="24"/>
          <w:szCs w:val="24"/>
        </w:rPr>
        <w:t xml:space="preserve">2024 г. динамика количества субъектов МСП, осуществляющих деятельность в муниципальном образовании «Новодугинский район» Смоленской области, соответствовала тенденциям других муниципальных районов Смоленской области. </w:t>
      </w:r>
      <w:proofErr w:type="gramStart"/>
      <w:r w:rsidRPr="00BD1D2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«Новодугинский район» Смоленской области, с </w:t>
      </w:r>
      <w:r w:rsidR="006A2330">
        <w:rPr>
          <w:rFonts w:ascii="Times New Roman" w:hAnsi="Times New Roman" w:cs="Times New Roman"/>
          <w:sz w:val="24"/>
          <w:szCs w:val="24"/>
        </w:rPr>
        <w:t>дека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бря </w:t>
      </w:r>
      <w:r w:rsidRPr="00BD1D28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6A2330">
        <w:rPr>
          <w:rFonts w:ascii="Times New Roman" w:hAnsi="Times New Roman" w:cs="Times New Roman"/>
          <w:sz w:val="24"/>
          <w:szCs w:val="24"/>
        </w:rPr>
        <w:t>декаб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рь </w:t>
      </w:r>
      <w:r w:rsidRPr="00BD1D28">
        <w:rPr>
          <w:rFonts w:ascii="Times New Roman" w:hAnsi="Times New Roman" w:cs="Times New Roman"/>
          <w:sz w:val="24"/>
          <w:szCs w:val="24"/>
        </w:rPr>
        <w:t>2024 г. увеличилось со 1</w:t>
      </w:r>
      <w:r w:rsidR="006A2330">
        <w:rPr>
          <w:rFonts w:ascii="Times New Roman" w:hAnsi="Times New Roman" w:cs="Times New Roman"/>
          <w:sz w:val="24"/>
          <w:szCs w:val="24"/>
        </w:rPr>
        <w:t>8</w:t>
      </w:r>
      <w:r w:rsidR="000707D5">
        <w:rPr>
          <w:rFonts w:ascii="Times New Roman" w:hAnsi="Times New Roman" w:cs="Times New Roman"/>
          <w:sz w:val="24"/>
          <w:szCs w:val="24"/>
        </w:rPr>
        <w:t>2</w:t>
      </w:r>
      <w:r w:rsidRPr="00BD1D28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BD1D28">
        <w:rPr>
          <w:rFonts w:ascii="Times New Roman" w:hAnsi="Times New Roman" w:cs="Times New Roman"/>
          <w:sz w:val="24"/>
          <w:szCs w:val="24"/>
        </w:rPr>
        <w:t>9</w:t>
      </w:r>
      <w:r w:rsidR="00BD1D28" w:rsidRPr="00BD1D28">
        <w:rPr>
          <w:rFonts w:ascii="Times New Roman" w:hAnsi="Times New Roman" w:cs="Times New Roman"/>
          <w:sz w:val="24"/>
          <w:szCs w:val="24"/>
        </w:rPr>
        <w:t>5</w:t>
      </w:r>
      <w:r w:rsidR="00C7050E" w:rsidRPr="00BD1D28">
        <w:rPr>
          <w:rFonts w:ascii="Times New Roman" w:hAnsi="Times New Roman" w:cs="Times New Roman"/>
          <w:sz w:val="24"/>
          <w:szCs w:val="24"/>
        </w:rPr>
        <w:t xml:space="preserve"> ед. За </w:t>
      </w:r>
      <w:r w:rsidR="00BD1D28" w:rsidRPr="00BD1D28">
        <w:rPr>
          <w:rFonts w:ascii="Times New Roman" w:hAnsi="Times New Roman" w:cs="Times New Roman"/>
          <w:sz w:val="24"/>
          <w:szCs w:val="24"/>
        </w:rPr>
        <w:t>1</w:t>
      </w:r>
      <w:r w:rsidR="006A2330">
        <w:rPr>
          <w:rFonts w:ascii="Times New Roman" w:hAnsi="Times New Roman" w:cs="Times New Roman"/>
          <w:sz w:val="24"/>
          <w:szCs w:val="24"/>
        </w:rPr>
        <w:t>1</w:t>
      </w:r>
      <w:r w:rsidRPr="00BD1D28">
        <w:rPr>
          <w:rFonts w:ascii="Times New Roman" w:hAnsi="Times New Roman" w:cs="Times New Roman"/>
          <w:sz w:val="24"/>
          <w:szCs w:val="24"/>
        </w:rPr>
        <w:t xml:space="preserve"> месяцев 2024 года </w:t>
      </w:r>
      <w:r w:rsidRPr="00BD1D2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«Новодугинский район» Смоленской области </w:t>
      </w:r>
      <w:r w:rsidRPr="00BD1D28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 w:rsidR="006A2330">
        <w:rPr>
          <w:rFonts w:ascii="Times New Roman" w:hAnsi="Times New Roman" w:cs="Times New Roman"/>
          <w:sz w:val="24"/>
          <w:szCs w:val="24"/>
        </w:rPr>
        <w:t>1 ед., рост 2,1</w:t>
      </w:r>
      <w:r w:rsidRPr="00BD1D28">
        <w:rPr>
          <w:rFonts w:ascii="Times New Roman" w:hAnsi="Times New Roman" w:cs="Times New Roman"/>
          <w:sz w:val="24"/>
          <w:szCs w:val="24"/>
        </w:rPr>
        <w:t xml:space="preserve"> %,</w:t>
      </w:r>
      <w:proofErr w:type="gramEnd"/>
    </w:p>
    <w:p w:rsidR="003A2F01" w:rsidRPr="00BD1D28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D28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В </w:t>
      </w:r>
      <w:proofErr w:type="spellStart"/>
      <w:r w:rsidRPr="00BD1D28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BD1D28">
        <w:rPr>
          <w:rFonts w:ascii="Times New Roman" w:hAnsi="Times New Roman" w:cs="Times New Roman"/>
          <w:sz w:val="24"/>
          <w:szCs w:val="24"/>
        </w:rPr>
        <w:t xml:space="preserve">  районе   наиболее популярными видами деятельности являются: торговля оптовая и розничная, транспортировка и хранение; обрабатывающие производства; строительство.</w:t>
      </w:r>
    </w:p>
    <w:p w:rsidR="003A2F01" w:rsidRPr="00764B43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2F01" w:rsidRPr="0005790B" w:rsidRDefault="006A2330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90B">
        <w:rPr>
          <w:rFonts w:ascii="Times New Roman" w:hAnsi="Times New Roman" w:cs="Times New Roman"/>
          <w:sz w:val="24"/>
          <w:szCs w:val="24"/>
        </w:rPr>
        <w:t>За период с 10.11</w:t>
      </w:r>
      <w:r w:rsidR="00870EEA" w:rsidRPr="0005790B">
        <w:rPr>
          <w:rFonts w:ascii="Times New Roman" w:hAnsi="Times New Roman" w:cs="Times New Roman"/>
          <w:sz w:val="24"/>
          <w:szCs w:val="24"/>
        </w:rPr>
        <w:t>.2024 по 10.1</w:t>
      </w:r>
      <w:r w:rsidRPr="0005790B">
        <w:rPr>
          <w:rFonts w:ascii="Times New Roman" w:hAnsi="Times New Roman" w:cs="Times New Roman"/>
          <w:sz w:val="24"/>
          <w:szCs w:val="24"/>
        </w:rPr>
        <w:t>2</w:t>
      </w:r>
      <w:r w:rsidR="003A2F01" w:rsidRPr="0005790B">
        <w:rPr>
          <w:rFonts w:ascii="Times New Roman" w:hAnsi="Times New Roman" w:cs="Times New Roman"/>
          <w:sz w:val="24"/>
          <w:szCs w:val="24"/>
        </w:rPr>
        <w:t xml:space="preserve">.2024 </w:t>
      </w:r>
      <w:r w:rsidR="00BD42C9" w:rsidRPr="0005790B">
        <w:rPr>
          <w:rFonts w:ascii="Times New Roman" w:hAnsi="Times New Roman" w:cs="Times New Roman"/>
          <w:sz w:val="24"/>
          <w:szCs w:val="24"/>
        </w:rPr>
        <w:t xml:space="preserve">число субъектов МСП осталось на одном уровне – 195 единиц. За месяц 3 СМСП вновь зарегистрировались, 3 – </w:t>
      </w:r>
      <w:proofErr w:type="gramStart"/>
      <w:r w:rsidR="00BD42C9" w:rsidRPr="0005790B"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 w:rsidR="00BD42C9" w:rsidRPr="0005790B">
        <w:rPr>
          <w:rFonts w:ascii="Times New Roman" w:hAnsi="Times New Roman" w:cs="Times New Roman"/>
          <w:sz w:val="24"/>
          <w:szCs w:val="24"/>
        </w:rPr>
        <w:t xml:space="preserve"> </w:t>
      </w:r>
      <w:r w:rsidR="0005790B">
        <w:rPr>
          <w:rFonts w:ascii="Times New Roman" w:hAnsi="Times New Roman" w:cs="Times New Roman"/>
          <w:sz w:val="24"/>
          <w:szCs w:val="24"/>
        </w:rPr>
        <w:t>из реестра СМСП</w:t>
      </w:r>
      <w:r w:rsidR="00BD42C9" w:rsidRPr="0005790B">
        <w:rPr>
          <w:rFonts w:ascii="Times New Roman" w:hAnsi="Times New Roman" w:cs="Times New Roman"/>
          <w:sz w:val="24"/>
          <w:szCs w:val="24"/>
        </w:rPr>
        <w:t>.</w:t>
      </w:r>
    </w:p>
    <w:p w:rsidR="006C4A97" w:rsidRPr="0005790B" w:rsidRDefault="00BD42C9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90B">
        <w:rPr>
          <w:rFonts w:ascii="Times New Roman" w:hAnsi="Times New Roman" w:cs="Times New Roman"/>
          <w:sz w:val="24"/>
          <w:szCs w:val="24"/>
        </w:rPr>
        <w:t>Вновь зарегистрированные:</w:t>
      </w:r>
    </w:p>
    <w:p w:rsidR="00BD42C9" w:rsidRPr="0005790B" w:rsidRDefault="00BD42C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0B">
        <w:rPr>
          <w:rFonts w:ascii="Times New Roman" w:hAnsi="Times New Roman" w:cs="Times New Roman"/>
          <w:sz w:val="24"/>
          <w:szCs w:val="24"/>
        </w:rPr>
        <w:t>ИП Захаров Андрей Станиславович, ИНН 671100963135 (деятельность курьерская);</w:t>
      </w:r>
    </w:p>
    <w:p w:rsidR="00BD42C9" w:rsidRPr="0005790B" w:rsidRDefault="00BD42C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0B">
        <w:rPr>
          <w:rFonts w:ascii="Times New Roman" w:hAnsi="Times New Roman" w:cs="Times New Roman"/>
          <w:sz w:val="24"/>
          <w:szCs w:val="24"/>
        </w:rPr>
        <w:t>ИП Колганов Никита Владимирович, ИНН 671100765711 (образовательная деятельность);</w:t>
      </w:r>
    </w:p>
    <w:p w:rsidR="00BD42C9" w:rsidRPr="0005790B" w:rsidRDefault="00BD42C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0B">
        <w:rPr>
          <w:rFonts w:ascii="Times New Roman" w:hAnsi="Times New Roman" w:cs="Times New Roman"/>
          <w:sz w:val="24"/>
          <w:szCs w:val="24"/>
        </w:rPr>
        <w:t>ИП Федорова Татьяна Николаевна, ИНН 671100475635 (деятельность автотранспортных средств).</w:t>
      </w:r>
    </w:p>
    <w:p w:rsidR="001B7BC4" w:rsidRPr="007316C6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B7BC4" w:rsidRPr="001B7BC4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6C6">
        <w:rPr>
          <w:rFonts w:ascii="Times New Roman" w:hAnsi="Times New Roman" w:cs="Times New Roman"/>
          <w:sz w:val="24"/>
          <w:szCs w:val="24"/>
        </w:rPr>
        <w:t>Прекратил</w:t>
      </w:r>
      <w:r w:rsidR="007316C6" w:rsidRPr="007316C6">
        <w:rPr>
          <w:rFonts w:ascii="Times New Roman" w:hAnsi="Times New Roman" w:cs="Times New Roman"/>
          <w:sz w:val="24"/>
          <w:szCs w:val="24"/>
        </w:rPr>
        <w:t>и</w:t>
      </w:r>
      <w:r w:rsidRPr="007316C6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05790B">
        <w:rPr>
          <w:rFonts w:ascii="Times New Roman" w:hAnsi="Times New Roman" w:cs="Times New Roman"/>
          <w:sz w:val="24"/>
          <w:szCs w:val="24"/>
        </w:rPr>
        <w:t>1</w:t>
      </w:r>
      <w:r w:rsidRPr="007316C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BD42C9">
        <w:rPr>
          <w:rFonts w:ascii="Times New Roman" w:hAnsi="Times New Roman" w:cs="Times New Roman"/>
          <w:sz w:val="24"/>
          <w:szCs w:val="24"/>
        </w:rPr>
        <w:t xml:space="preserve"> МСП</w:t>
      </w:r>
      <w:proofErr w:type="gramStart"/>
      <w:r w:rsidR="00BD42C9">
        <w:rPr>
          <w:rFonts w:ascii="Times New Roman" w:hAnsi="Times New Roman" w:cs="Times New Roman"/>
          <w:sz w:val="24"/>
          <w:szCs w:val="24"/>
        </w:rPr>
        <w:t xml:space="preserve"> </w:t>
      </w:r>
      <w:r w:rsidRPr="007316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316C6">
        <w:rPr>
          <w:rFonts w:ascii="Times New Roman" w:hAnsi="Times New Roman" w:cs="Times New Roman"/>
          <w:sz w:val="24"/>
          <w:szCs w:val="24"/>
        </w:rPr>
        <w:t xml:space="preserve"> </w:t>
      </w:r>
      <w:r w:rsidR="0005790B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BD42C9">
        <w:rPr>
          <w:rFonts w:ascii="Times New Roman" w:hAnsi="Times New Roman" w:cs="Times New Roman"/>
          <w:sz w:val="24"/>
          <w:szCs w:val="24"/>
        </w:rPr>
        <w:t>Апрелков</w:t>
      </w:r>
      <w:proofErr w:type="spellEnd"/>
      <w:r w:rsidR="00BD42C9">
        <w:rPr>
          <w:rFonts w:ascii="Times New Roman" w:hAnsi="Times New Roman" w:cs="Times New Roman"/>
          <w:sz w:val="24"/>
          <w:szCs w:val="24"/>
        </w:rPr>
        <w:t xml:space="preserve"> Андрей Николаевич, ИНН 671100511682 (деятельность автомобильного транспорта); </w:t>
      </w:r>
      <w:r w:rsidR="0005790B">
        <w:rPr>
          <w:rFonts w:ascii="Times New Roman" w:hAnsi="Times New Roman" w:cs="Times New Roman"/>
          <w:sz w:val="24"/>
          <w:szCs w:val="24"/>
        </w:rPr>
        <w:t xml:space="preserve">два субъекта МСП не включены в реестр ИП </w:t>
      </w:r>
      <w:r w:rsidR="00BD42C9">
        <w:rPr>
          <w:rFonts w:ascii="Times New Roman" w:hAnsi="Times New Roman" w:cs="Times New Roman"/>
          <w:sz w:val="24"/>
          <w:szCs w:val="24"/>
        </w:rPr>
        <w:t>Лаврентьев Артем Дмитриевич, ИНН 672211638541 (работы по облицовке стен»</w:t>
      </w:r>
      <w:r w:rsidR="0005790B">
        <w:rPr>
          <w:rFonts w:ascii="Times New Roman" w:hAnsi="Times New Roman" w:cs="Times New Roman"/>
          <w:sz w:val="24"/>
          <w:szCs w:val="24"/>
        </w:rPr>
        <w:t>)</w:t>
      </w:r>
      <w:r w:rsidR="00BD42C9">
        <w:rPr>
          <w:rFonts w:ascii="Times New Roman" w:hAnsi="Times New Roman" w:cs="Times New Roman"/>
          <w:sz w:val="24"/>
          <w:szCs w:val="24"/>
        </w:rPr>
        <w:t xml:space="preserve">; ООО «ДС </w:t>
      </w:r>
      <w:proofErr w:type="spellStart"/>
      <w:r w:rsidR="00BD42C9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="00BD42C9">
        <w:rPr>
          <w:rFonts w:ascii="Times New Roman" w:hAnsi="Times New Roman" w:cs="Times New Roman"/>
          <w:sz w:val="24"/>
          <w:szCs w:val="24"/>
        </w:rPr>
        <w:t>» ИНН 5031109790 (торговля оптовая бытовыми электротоварами).</w:t>
      </w:r>
      <w:r w:rsidR="00CF62DD">
        <w:rPr>
          <w:rFonts w:ascii="Times New Roman" w:hAnsi="Times New Roman" w:cs="Times New Roman"/>
          <w:sz w:val="24"/>
          <w:szCs w:val="24"/>
        </w:rPr>
        <w:t xml:space="preserve"> </w:t>
      </w:r>
      <w:r w:rsidRPr="007316C6">
        <w:rPr>
          <w:rFonts w:ascii="Times New Roman" w:hAnsi="Times New Roman" w:cs="Times New Roman"/>
          <w:sz w:val="24"/>
          <w:szCs w:val="24"/>
        </w:rPr>
        <w:t>В  Едином реестр</w:t>
      </w:r>
      <w:r w:rsidR="007316C6" w:rsidRPr="007316C6">
        <w:rPr>
          <w:rFonts w:ascii="Times New Roman" w:hAnsi="Times New Roman" w:cs="Times New Roman"/>
          <w:sz w:val="24"/>
          <w:szCs w:val="24"/>
        </w:rPr>
        <w:t>е субъектов МСП за период с 10.1</w:t>
      </w:r>
      <w:r w:rsidR="009C60A4">
        <w:rPr>
          <w:rFonts w:ascii="Times New Roman" w:hAnsi="Times New Roman" w:cs="Times New Roman"/>
          <w:sz w:val="24"/>
          <w:szCs w:val="24"/>
        </w:rPr>
        <w:t>1</w:t>
      </w:r>
      <w:r w:rsidRPr="007316C6">
        <w:rPr>
          <w:rFonts w:ascii="Times New Roman" w:hAnsi="Times New Roman" w:cs="Times New Roman"/>
          <w:sz w:val="24"/>
          <w:szCs w:val="24"/>
        </w:rPr>
        <w:t>.2024 по 10.1</w:t>
      </w:r>
      <w:r w:rsidR="000707D5">
        <w:rPr>
          <w:rFonts w:ascii="Times New Roman" w:hAnsi="Times New Roman" w:cs="Times New Roman"/>
          <w:sz w:val="24"/>
          <w:szCs w:val="24"/>
        </w:rPr>
        <w:t>2</w:t>
      </w:r>
      <w:r w:rsidRPr="007316C6">
        <w:rPr>
          <w:rFonts w:ascii="Times New Roman" w:hAnsi="Times New Roman" w:cs="Times New Roman"/>
          <w:sz w:val="24"/>
          <w:szCs w:val="24"/>
        </w:rPr>
        <w:t xml:space="preserve">.2024  восстановился 1 ИП (Федоров Сергей Владимирович), который </w:t>
      </w:r>
      <w:proofErr w:type="gramStart"/>
      <w:r w:rsidRPr="007316C6">
        <w:rPr>
          <w:rFonts w:ascii="Times New Roman" w:hAnsi="Times New Roman" w:cs="Times New Roman"/>
          <w:sz w:val="24"/>
          <w:szCs w:val="24"/>
        </w:rPr>
        <w:t>был исключен из реестра 10.07.2024 года и которому было</w:t>
      </w:r>
      <w:proofErr w:type="gramEnd"/>
      <w:r w:rsidRPr="007316C6">
        <w:rPr>
          <w:rFonts w:ascii="Times New Roman" w:hAnsi="Times New Roman" w:cs="Times New Roman"/>
          <w:sz w:val="24"/>
          <w:szCs w:val="24"/>
        </w:rPr>
        <w:t xml:space="preserve"> направлено разъяснительное письмо о значении единого реестра СМСП.</w:t>
      </w:r>
    </w:p>
    <w:p w:rsidR="001B7BC4" w:rsidRPr="00333689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33689" w:rsidRDefault="00333689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01" w:rsidRPr="00D6552D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A2F01" w:rsidRPr="00D6552D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52C77"/>
    <w:rsid w:val="0005790B"/>
    <w:rsid w:val="00066BAC"/>
    <w:rsid w:val="000707D5"/>
    <w:rsid w:val="00071772"/>
    <w:rsid w:val="000861A4"/>
    <w:rsid w:val="000C2E34"/>
    <w:rsid w:val="000D6BF8"/>
    <w:rsid w:val="000F3007"/>
    <w:rsid w:val="00106066"/>
    <w:rsid w:val="001072F5"/>
    <w:rsid w:val="00125976"/>
    <w:rsid w:val="001302C2"/>
    <w:rsid w:val="00173B24"/>
    <w:rsid w:val="001A3E9E"/>
    <w:rsid w:val="001B2083"/>
    <w:rsid w:val="001B2F7D"/>
    <w:rsid w:val="001B44AB"/>
    <w:rsid w:val="001B6EDF"/>
    <w:rsid w:val="001B7BC4"/>
    <w:rsid w:val="001D70E6"/>
    <w:rsid w:val="00201A8D"/>
    <w:rsid w:val="00235923"/>
    <w:rsid w:val="00243591"/>
    <w:rsid w:val="0028348D"/>
    <w:rsid w:val="00295EE6"/>
    <w:rsid w:val="002B2B7D"/>
    <w:rsid w:val="002D4326"/>
    <w:rsid w:val="003152AF"/>
    <w:rsid w:val="003174FB"/>
    <w:rsid w:val="003227E3"/>
    <w:rsid w:val="00333689"/>
    <w:rsid w:val="0034285B"/>
    <w:rsid w:val="003620DF"/>
    <w:rsid w:val="00397DE2"/>
    <w:rsid w:val="003A2F01"/>
    <w:rsid w:val="003B5FE4"/>
    <w:rsid w:val="003D1B78"/>
    <w:rsid w:val="003D5E86"/>
    <w:rsid w:val="003D5F58"/>
    <w:rsid w:val="003F779F"/>
    <w:rsid w:val="00404EF5"/>
    <w:rsid w:val="0041414B"/>
    <w:rsid w:val="00424617"/>
    <w:rsid w:val="004272EC"/>
    <w:rsid w:val="00442712"/>
    <w:rsid w:val="00443284"/>
    <w:rsid w:val="00466174"/>
    <w:rsid w:val="00492131"/>
    <w:rsid w:val="004A0F89"/>
    <w:rsid w:val="004A72DD"/>
    <w:rsid w:val="004C1160"/>
    <w:rsid w:val="004D4500"/>
    <w:rsid w:val="004D4E80"/>
    <w:rsid w:val="004E5654"/>
    <w:rsid w:val="004F519E"/>
    <w:rsid w:val="004F6306"/>
    <w:rsid w:val="004F6E5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63AA9"/>
    <w:rsid w:val="0066707C"/>
    <w:rsid w:val="00672825"/>
    <w:rsid w:val="006A2330"/>
    <w:rsid w:val="006A4DB8"/>
    <w:rsid w:val="006A513B"/>
    <w:rsid w:val="006C4A97"/>
    <w:rsid w:val="006E003E"/>
    <w:rsid w:val="00702DEC"/>
    <w:rsid w:val="00721B50"/>
    <w:rsid w:val="007316C6"/>
    <w:rsid w:val="007364C3"/>
    <w:rsid w:val="007367FB"/>
    <w:rsid w:val="00742914"/>
    <w:rsid w:val="00764B43"/>
    <w:rsid w:val="00870EEA"/>
    <w:rsid w:val="008746C0"/>
    <w:rsid w:val="008776A1"/>
    <w:rsid w:val="008A33C1"/>
    <w:rsid w:val="008A4D50"/>
    <w:rsid w:val="008D60A3"/>
    <w:rsid w:val="008F2C08"/>
    <w:rsid w:val="008F559E"/>
    <w:rsid w:val="00900E47"/>
    <w:rsid w:val="009056D4"/>
    <w:rsid w:val="00907A28"/>
    <w:rsid w:val="00922C16"/>
    <w:rsid w:val="00946093"/>
    <w:rsid w:val="00952963"/>
    <w:rsid w:val="0096522F"/>
    <w:rsid w:val="009B2F51"/>
    <w:rsid w:val="009B63B8"/>
    <w:rsid w:val="009C60A4"/>
    <w:rsid w:val="009D7279"/>
    <w:rsid w:val="00A053BC"/>
    <w:rsid w:val="00A33A15"/>
    <w:rsid w:val="00A43B0D"/>
    <w:rsid w:val="00AE04D9"/>
    <w:rsid w:val="00B50ABB"/>
    <w:rsid w:val="00B9553C"/>
    <w:rsid w:val="00BA705F"/>
    <w:rsid w:val="00BC3628"/>
    <w:rsid w:val="00BD1D28"/>
    <w:rsid w:val="00BD42C9"/>
    <w:rsid w:val="00C43D07"/>
    <w:rsid w:val="00C4757E"/>
    <w:rsid w:val="00C51B21"/>
    <w:rsid w:val="00C65A54"/>
    <w:rsid w:val="00C7050E"/>
    <w:rsid w:val="00C94E7D"/>
    <w:rsid w:val="00C9699C"/>
    <w:rsid w:val="00C974FE"/>
    <w:rsid w:val="00CC1CE4"/>
    <w:rsid w:val="00CF62DD"/>
    <w:rsid w:val="00D545D7"/>
    <w:rsid w:val="00D56B51"/>
    <w:rsid w:val="00D56C13"/>
    <w:rsid w:val="00D94F05"/>
    <w:rsid w:val="00DB37A6"/>
    <w:rsid w:val="00DE3E3D"/>
    <w:rsid w:val="00E22617"/>
    <w:rsid w:val="00E64FFD"/>
    <w:rsid w:val="00E9558F"/>
    <w:rsid w:val="00EB1924"/>
    <w:rsid w:val="00EE0C5E"/>
    <w:rsid w:val="00F05D59"/>
    <w:rsid w:val="00F2163A"/>
    <w:rsid w:val="00F31A95"/>
    <w:rsid w:val="00F52477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369168270918614E-2"/>
          <c:y val="5.1921047301929465E-2"/>
          <c:w val="0.90688430482200977"/>
          <c:h val="0.661069718236332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49</c:v>
                </c:pt>
                <c:pt idx="5">
                  <c:v>50</c:v>
                </c:pt>
                <c:pt idx="6">
                  <c:v>50</c:v>
                </c:pt>
                <c:pt idx="7">
                  <c:v>49</c:v>
                </c:pt>
                <c:pt idx="8">
                  <c:v>50</c:v>
                </c:pt>
                <c:pt idx="9">
                  <c:v>50</c:v>
                </c:pt>
                <c:pt idx="10">
                  <c:v>49</c:v>
                </c:pt>
                <c:pt idx="11">
                  <c:v>49</c:v>
                </c:pt>
                <c:pt idx="1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895E-2"/>
                  <c:y val="4.538232720910012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796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973E-2"/>
                  <c:y val="4.53823272091006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183E-2"/>
                  <c:y val="4.807045785943656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338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5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134</c:v>
                </c:pt>
                <c:pt idx="1">
                  <c:v>134</c:v>
                </c:pt>
                <c:pt idx="2">
                  <c:v>135</c:v>
                </c:pt>
                <c:pt idx="3">
                  <c:v>136</c:v>
                </c:pt>
                <c:pt idx="4">
                  <c:v>139</c:v>
                </c:pt>
                <c:pt idx="5">
                  <c:v>142</c:v>
                </c:pt>
                <c:pt idx="6">
                  <c:v>140</c:v>
                </c:pt>
                <c:pt idx="7">
                  <c:v>134</c:v>
                </c:pt>
                <c:pt idx="8">
                  <c:v>135</c:v>
                </c:pt>
                <c:pt idx="9">
                  <c:v>139</c:v>
                </c:pt>
                <c:pt idx="10">
                  <c:v>144</c:v>
                </c:pt>
                <c:pt idx="11">
                  <c:v>146</c:v>
                </c:pt>
                <c:pt idx="12">
                  <c:v>147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57565568"/>
        <c:axId val="57567104"/>
      </c:lineChart>
      <c:dateAx>
        <c:axId val="57565568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67104"/>
        <c:crosses val="autoZero"/>
        <c:auto val="1"/>
        <c:lblOffset val="100"/>
        <c:baseTimeUnit val="days"/>
      </c:dateAx>
      <c:valAx>
        <c:axId val="5756710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56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58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918"/>
          <c:w val="0.55312160054069837"/>
          <c:h val="0.556721800307533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38</c:v>
                </c:pt>
                <c:pt idx="2">
                  <c:v>22</c:v>
                </c:pt>
                <c:pt idx="3">
                  <c:v>12</c:v>
                </c:pt>
                <c:pt idx="4">
                  <c:v>30</c:v>
                </c:pt>
                <c:pt idx="5">
                  <c:v>20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32</cp:revision>
  <cp:lastPrinted>2024-12-13T07:26:00Z</cp:lastPrinted>
  <dcterms:created xsi:type="dcterms:W3CDTF">2024-10-14T12:29:00Z</dcterms:created>
  <dcterms:modified xsi:type="dcterms:W3CDTF">2024-12-13T07:28:00Z</dcterms:modified>
</cp:coreProperties>
</file>