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E6883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>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</w:t>
      </w: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Новодугин</w:t>
      </w:r>
      <w:r w:rsidRPr="005449ED">
        <w:rPr>
          <w:rFonts w:ascii="Times New Roman" w:hAnsi="Times New Roman" w:cs="Times New Roman"/>
          <w:b/>
          <w:sz w:val="24"/>
          <w:szCs w:val="24"/>
        </w:rPr>
        <w:t>ский муниципальный округ» Смоленской области</w:t>
      </w:r>
    </w:p>
    <w:p w:rsidR="004F2765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с 10.</w:t>
      </w:r>
      <w:r w:rsidR="0071514F">
        <w:rPr>
          <w:rFonts w:ascii="Times New Roman" w:hAnsi="Times New Roman" w:cs="Times New Roman"/>
          <w:b/>
          <w:sz w:val="24"/>
          <w:szCs w:val="24"/>
        </w:rPr>
        <w:t>09</w:t>
      </w:r>
      <w:r w:rsidRPr="005449ED">
        <w:rPr>
          <w:rFonts w:ascii="Times New Roman" w:hAnsi="Times New Roman" w:cs="Times New Roman"/>
          <w:b/>
          <w:sz w:val="24"/>
          <w:szCs w:val="24"/>
        </w:rPr>
        <w:t>.2024 по 10.</w:t>
      </w:r>
      <w:r w:rsidR="0071514F">
        <w:rPr>
          <w:rFonts w:ascii="Times New Roman" w:hAnsi="Times New Roman" w:cs="Times New Roman"/>
          <w:b/>
          <w:sz w:val="24"/>
          <w:szCs w:val="24"/>
        </w:rPr>
        <w:t>09</w:t>
      </w:r>
      <w:r w:rsidRPr="005449E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71514F" w:rsidRPr="00D2542A" w:rsidRDefault="0071514F" w:rsidP="0071514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71514F" w:rsidRPr="00D2542A" w:rsidTr="00FA6C9D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5140E2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14,08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6D237C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5140E2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5140E2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8979D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B115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201A3E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514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151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14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B115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8979D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497578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5,98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B115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559C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8979D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9A2F5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6369D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559C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8979D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F72B8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6D237C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4525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8979D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466EC8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0002DE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F551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559C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1559C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51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71514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14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0,53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-0,20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8979D1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9A2F5F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C38E0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201A3E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-1,09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EA40E9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-1,26</w:t>
            </w:r>
          </w:p>
        </w:tc>
      </w:tr>
      <w:tr w:rsidR="0071514F" w:rsidRPr="00D2542A" w:rsidTr="00FA6C9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7151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D7028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</w:t>
            </w:r>
          </w:p>
        </w:tc>
      </w:tr>
      <w:tr w:rsidR="0071514F" w:rsidRPr="00D2542A" w:rsidTr="00FA6C9D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14F" w:rsidRPr="00D2542A" w:rsidRDefault="0071514F" w:rsidP="00FA6C9D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4F" w:rsidRPr="00D2542A" w:rsidRDefault="0071514F" w:rsidP="00FA6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2,79</w:t>
            </w:r>
          </w:p>
        </w:tc>
      </w:tr>
    </w:tbl>
    <w:p w:rsidR="0071514F" w:rsidRPr="00752B05" w:rsidRDefault="0071514F" w:rsidP="0071514F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71514F" w:rsidRDefault="0071514F" w:rsidP="00715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22 </w:t>
      </w:r>
      <w:r w:rsidRPr="00CA38F8">
        <w:rPr>
          <w:rFonts w:ascii="Times New Roman" w:hAnsi="Times New Roman" w:cs="Times New Roman"/>
          <w:sz w:val="24"/>
          <w:szCs w:val="24"/>
        </w:rPr>
        <w:t xml:space="preserve">муниципальных образованиях.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. Смоленск +</w:t>
      </w:r>
      <w:r>
        <w:rPr>
          <w:rFonts w:ascii="Times New Roman" w:hAnsi="Times New Roman" w:cs="Times New Roman"/>
          <w:sz w:val="24"/>
          <w:szCs w:val="24"/>
        </w:rPr>
        <w:t xml:space="preserve">468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2,30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208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7,57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3,42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1514F" w:rsidRDefault="0071514F" w:rsidP="00715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+19 ед. или 8,80%, Смоленский округ +80 или 2,78%,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+14 ед. или 5,28%,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+18 ед. или 3,13%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</w:rPr>
        <w:t xml:space="preserve">11 муниципальных округах наблюдается отрицательная динамика количества МСП. Наибольшее снижение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0,63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на -29 ед. или -1,15%,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на -29 ед. или -1,93%. </w:t>
      </w:r>
    </w:p>
    <w:p w:rsidR="0071514F" w:rsidRDefault="0071514F" w:rsidP="00715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0,07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снизилось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1065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2,79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71514F" w:rsidRPr="004D288A" w:rsidRDefault="0071514F" w:rsidP="00715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 xml:space="preserve">Сокращение количества субъектов МСП связано с ежегодным исключением </w:t>
      </w:r>
      <w:proofErr w:type="spellStart"/>
      <w:r w:rsidRPr="004D288A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4D288A">
        <w:rPr>
          <w:rFonts w:ascii="Times New Roman" w:hAnsi="Times New Roman" w:cs="Times New Roman"/>
          <w:sz w:val="24"/>
          <w:szCs w:val="24"/>
        </w:rPr>
        <w:t>. субъектов из Единого Реестра субъектов МСП.</w:t>
      </w:r>
    </w:p>
    <w:p w:rsidR="0071514F" w:rsidRPr="00717382" w:rsidRDefault="0071514F" w:rsidP="00715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Новодугинский </w:t>
      </w:r>
      <w:r w:rsidRPr="00717382">
        <w:rPr>
          <w:rFonts w:ascii="Times New Roman" w:hAnsi="Times New Roman" w:cs="Times New Roman"/>
          <w:sz w:val="24"/>
          <w:szCs w:val="24"/>
        </w:rPr>
        <w:t>муниципальный округ» Смоленской области с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7382">
        <w:rPr>
          <w:rFonts w:ascii="Times New Roman" w:hAnsi="Times New Roman" w:cs="Times New Roman"/>
          <w:sz w:val="24"/>
          <w:szCs w:val="24"/>
        </w:rPr>
        <w:t>.2024 г. по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738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увеличилось на 1 ед. или на 0,53 %</w:t>
      </w:r>
      <w:r w:rsidRPr="00717382">
        <w:rPr>
          <w:rFonts w:ascii="Times New Roman" w:hAnsi="Times New Roman" w:cs="Times New Roman"/>
          <w:sz w:val="24"/>
          <w:szCs w:val="24"/>
        </w:rPr>
        <w:t xml:space="preserve">., с начала 2025 года число МСП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1,55</w:t>
      </w:r>
      <w:r w:rsidRPr="0071738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C70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46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46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462B7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427B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</w:tr>
      <w:tr w:rsidR="009462B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2537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-7,32</w:t>
            </w:r>
          </w:p>
        </w:tc>
      </w:tr>
      <w:tr w:rsidR="009462B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2537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9462B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2537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9465B0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62B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427B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  <w:r w:rsidR="004F1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62B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427B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C01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</w:tr>
      <w:tr w:rsidR="009462B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427B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2B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427B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5022A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EF3308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2C4062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2B7" w:rsidRPr="002C4062" w:rsidRDefault="004F104C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</w:tr>
      <w:tr w:rsidR="009462B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B7" w:rsidRPr="009465B0" w:rsidRDefault="009462B7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Pr="0042427B" w:rsidRDefault="009462B7" w:rsidP="009462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2B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2B7" w:rsidRDefault="009462B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4F104C">
        <w:rPr>
          <w:rFonts w:ascii="Times New Roman" w:hAnsi="Times New Roman" w:cs="Times New Roman"/>
          <w:sz w:val="24"/>
          <w:szCs w:val="24"/>
        </w:rPr>
        <w:t>сентябрь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4F104C">
        <w:rPr>
          <w:rFonts w:ascii="Times New Roman" w:hAnsi="Times New Roman" w:cs="Times New Roman"/>
          <w:sz w:val="24"/>
          <w:szCs w:val="24"/>
        </w:rPr>
        <w:t xml:space="preserve">увеличилось на 1 ед. </w:t>
      </w:r>
      <w:r w:rsidR="005022A7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C17DBE">
        <w:rPr>
          <w:rFonts w:ascii="Times New Roman" w:hAnsi="Times New Roman" w:cs="Times New Roman"/>
          <w:sz w:val="24"/>
          <w:szCs w:val="24"/>
        </w:rPr>
        <w:t>снизилос</w:t>
      </w:r>
      <w:r w:rsidR="001B08D1">
        <w:rPr>
          <w:rFonts w:ascii="Times New Roman" w:hAnsi="Times New Roman" w:cs="Times New Roman"/>
          <w:sz w:val="24"/>
          <w:szCs w:val="24"/>
        </w:rPr>
        <w:t xml:space="preserve">ь на </w:t>
      </w:r>
      <w:r w:rsidR="00C01F4C">
        <w:rPr>
          <w:rFonts w:ascii="Times New Roman" w:hAnsi="Times New Roman" w:cs="Times New Roman"/>
          <w:sz w:val="24"/>
          <w:szCs w:val="24"/>
        </w:rPr>
        <w:t>4</w:t>
      </w:r>
      <w:r w:rsidR="002C4062">
        <w:rPr>
          <w:rFonts w:ascii="Times New Roman" w:hAnsi="Times New Roman" w:cs="Times New Roman"/>
          <w:sz w:val="24"/>
          <w:szCs w:val="24"/>
        </w:rPr>
        <w:t xml:space="preserve"> ед. и составило 1</w:t>
      </w:r>
      <w:r w:rsidR="00C01F4C">
        <w:rPr>
          <w:rFonts w:ascii="Times New Roman" w:hAnsi="Times New Roman" w:cs="Times New Roman"/>
          <w:sz w:val="24"/>
          <w:szCs w:val="24"/>
        </w:rPr>
        <w:t>41</w:t>
      </w:r>
      <w:r w:rsidR="00653959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C17DBE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Pr="00B524B9">
        <w:rPr>
          <w:rFonts w:ascii="Times New Roman" w:hAnsi="Times New Roman" w:cs="Times New Roman"/>
          <w:sz w:val="24"/>
          <w:szCs w:val="24"/>
        </w:rPr>
        <w:t>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</w:t>
      </w:r>
      <w:r w:rsidR="004F104C">
        <w:rPr>
          <w:rFonts w:ascii="Times New Roman" w:hAnsi="Times New Roman" w:cs="Times New Roman"/>
          <w:sz w:val="24"/>
          <w:szCs w:val="24"/>
        </w:rPr>
        <w:t>1</w:t>
      </w:r>
      <w:r w:rsidR="005022A7">
        <w:rPr>
          <w:rFonts w:ascii="Times New Roman" w:hAnsi="Times New Roman" w:cs="Times New Roman"/>
          <w:sz w:val="24"/>
          <w:szCs w:val="24"/>
        </w:rPr>
        <w:t xml:space="preserve">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4F104C">
        <w:rPr>
          <w:rFonts w:ascii="Times New Roman" w:hAnsi="Times New Roman" w:cs="Times New Roman"/>
          <w:sz w:val="24"/>
          <w:szCs w:val="24"/>
        </w:rPr>
        <w:t>2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4F104C">
        <w:rPr>
          <w:rFonts w:ascii="Times New Roman" w:hAnsi="Times New Roman" w:cs="Times New Roman"/>
          <w:sz w:val="24"/>
          <w:szCs w:val="24"/>
        </w:rPr>
        <w:t>1</w:t>
      </w:r>
      <w:r w:rsidR="00E22DDB">
        <w:rPr>
          <w:rFonts w:ascii="Times New Roman" w:hAnsi="Times New Roman" w:cs="Times New Roman"/>
          <w:sz w:val="24"/>
          <w:szCs w:val="24"/>
        </w:rPr>
        <w:t>,44%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246107">
        <w:rPr>
          <w:rFonts w:ascii="Times New Roman" w:hAnsi="Times New Roman" w:cs="Times New Roman"/>
          <w:b/>
          <w:bCs/>
          <w:sz w:val="20"/>
          <w:szCs w:val="24"/>
        </w:rPr>
        <w:t>ский муниципальный округ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F104C">
        <w:rPr>
          <w:rFonts w:ascii="Times New Roman" w:hAnsi="Times New Roman" w:cs="Times New Roman"/>
          <w:sz w:val="24"/>
          <w:szCs w:val="24"/>
        </w:rPr>
        <w:t>сентября</w:t>
      </w:r>
      <w:r w:rsidRPr="00EF3308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 w:rsidRPr="00EF3308">
        <w:rPr>
          <w:rFonts w:ascii="Times New Roman" w:hAnsi="Times New Roman" w:cs="Times New Roman"/>
          <w:sz w:val="24"/>
          <w:szCs w:val="24"/>
        </w:rPr>
        <w:t>4</w:t>
      </w:r>
      <w:r w:rsidRPr="00EF3308">
        <w:rPr>
          <w:rFonts w:ascii="Times New Roman" w:hAnsi="Times New Roman" w:cs="Times New Roman"/>
          <w:sz w:val="24"/>
          <w:szCs w:val="24"/>
        </w:rPr>
        <w:t xml:space="preserve"> по 10 </w:t>
      </w:r>
      <w:r w:rsidR="004F104C">
        <w:rPr>
          <w:rFonts w:ascii="Times New Roman" w:hAnsi="Times New Roman" w:cs="Times New Roman"/>
          <w:sz w:val="24"/>
          <w:szCs w:val="24"/>
        </w:rPr>
        <w:t>сентября</w:t>
      </w:r>
      <w:r w:rsidR="003B2390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4F104C">
        <w:rPr>
          <w:rFonts w:ascii="Times New Roman" w:hAnsi="Times New Roman" w:cs="Times New Roman"/>
          <w:sz w:val="24"/>
          <w:szCs w:val="24"/>
        </w:rPr>
        <w:t>1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4F104C">
        <w:rPr>
          <w:rFonts w:ascii="Times New Roman" w:hAnsi="Times New Roman" w:cs="Times New Roman"/>
          <w:sz w:val="24"/>
          <w:szCs w:val="24"/>
        </w:rPr>
        <w:t>90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  </w:t>
      </w:r>
      <w:r w:rsidR="004F104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4F104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 w:rsidRPr="00EF3308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4F104C">
        <w:rPr>
          <w:rFonts w:ascii="Times New Roman" w:hAnsi="Times New Roman" w:cs="Times New Roman"/>
          <w:sz w:val="24"/>
          <w:szCs w:val="24"/>
        </w:rPr>
        <w:t>2</w:t>
      </w:r>
      <w:r w:rsidR="00805411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>субъект</w:t>
      </w:r>
      <w:r w:rsidR="004F104C">
        <w:rPr>
          <w:rFonts w:ascii="Times New Roman" w:hAnsi="Times New Roman" w:cs="Times New Roman"/>
          <w:sz w:val="24"/>
          <w:szCs w:val="24"/>
        </w:rPr>
        <w:t>а</w:t>
      </w:r>
      <w:r w:rsidRPr="00EF3308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4F104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805411">
        <w:rPr>
          <w:rFonts w:ascii="Times New Roman" w:hAnsi="Times New Roman" w:cs="Times New Roman"/>
          <w:sz w:val="24"/>
          <w:szCs w:val="24"/>
        </w:rPr>
        <w:t>41</w:t>
      </w:r>
      <w:r w:rsidRPr="00EF3308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4F104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 </w:t>
      </w:r>
      <w:r w:rsidR="00886580" w:rsidRPr="00EF3308">
        <w:rPr>
          <w:rFonts w:ascii="Times New Roman" w:hAnsi="Times New Roman" w:cs="Times New Roman"/>
          <w:sz w:val="24"/>
          <w:szCs w:val="24"/>
        </w:rPr>
        <w:t>уменьши</w:t>
      </w:r>
      <w:r w:rsidR="004F104C">
        <w:rPr>
          <w:rFonts w:ascii="Times New Roman" w:hAnsi="Times New Roman" w:cs="Times New Roman"/>
          <w:sz w:val="24"/>
          <w:szCs w:val="24"/>
        </w:rPr>
        <w:t>лось на 1</w:t>
      </w:r>
      <w:r w:rsidR="00085A79" w:rsidRPr="00EF3308">
        <w:rPr>
          <w:rFonts w:ascii="Times New Roman" w:hAnsi="Times New Roman" w:cs="Times New Roman"/>
          <w:sz w:val="24"/>
          <w:szCs w:val="24"/>
        </w:rPr>
        <w:t xml:space="preserve"> ед.</w:t>
      </w:r>
      <w:r w:rsidRPr="00EF3308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</w:t>
      </w:r>
      <w:r w:rsidR="00246107">
        <w:rPr>
          <w:rFonts w:ascii="Times New Roman" w:hAnsi="Times New Roman" w:cs="Times New Roman"/>
          <w:b/>
          <w:bCs/>
          <w:sz w:val="20"/>
          <w:szCs w:val="20"/>
        </w:rPr>
        <w:t>ном образовании «Новодугинский муниципальный округ</w:t>
      </w:r>
      <w:r w:rsidRPr="005040BE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246107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муниципальный округ</w:t>
      </w:r>
      <w:r w:rsidR="008D60A3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8D60A3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="008D60A3"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CA60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CA60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A603B"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A6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D21A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A6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A603B"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CA603B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CA603B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A603B"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A603B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A603B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57B7"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-9,</w:t>
            </w:r>
            <w:r w:rsidR="00CA6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A603B"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A603B" w:rsidP="00CA6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A46BED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03B"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A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A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>2, 78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прочие 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(+1 ед. или 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>4,76 %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7032D6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2D6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7032D6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7032D6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 2025*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E374E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374EF"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032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7032D6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7032D6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21AA1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374EF"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21AA1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1356F"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D66C9" w:rsidP="00D1356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1356F" w:rsidRPr="007032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47,06</w:t>
            </w:r>
          </w:p>
        </w:tc>
      </w:tr>
      <w:tr w:rsidR="00F13498" w:rsidRPr="007032D6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21AA1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356F"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21AA1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1356F"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1356F" w:rsidP="00D1356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-51,52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7032D6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1356F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7032D6" w:rsidRDefault="00D1356F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1356F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6B6021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6021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2D6">
        <w:rPr>
          <w:rFonts w:ascii="Times New Roman" w:eastAsia="Calibri" w:hAnsi="Times New Roman" w:cs="Times New Roman"/>
          <w:sz w:val="24"/>
          <w:szCs w:val="24"/>
        </w:rPr>
        <w:lastRenderedPageBreak/>
        <w:t>По данным ФНС в Смоленской области по состоянию на 10.0</w:t>
      </w:r>
      <w:r w:rsidR="00D1356F" w:rsidRPr="007032D6">
        <w:rPr>
          <w:rFonts w:ascii="Times New Roman" w:eastAsia="Calibri" w:hAnsi="Times New Roman" w:cs="Times New Roman"/>
          <w:sz w:val="24"/>
          <w:szCs w:val="24"/>
        </w:rPr>
        <w:t>9</w:t>
      </w:r>
      <w:r w:rsidR="00136970" w:rsidRPr="007032D6">
        <w:rPr>
          <w:rFonts w:ascii="Times New Roman" w:eastAsia="Calibri" w:hAnsi="Times New Roman" w:cs="Times New Roman"/>
          <w:sz w:val="24"/>
          <w:szCs w:val="24"/>
        </w:rPr>
        <w:t>.202</w:t>
      </w:r>
      <w:r w:rsidR="00D1356F" w:rsidRPr="007032D6">
        <w:rPr>
          <w:rFonts w:ascii="Times New Roman" w:eastAsia="Calibri" w:hAnsi="Times New Roman" w:cs="Times New Roman"/>
          <w:sz w:val="24"/>
          <w:szCs w:val="24"/>
        </w:rPr>
        <w:t>4</w:t>
      </w:r>
      <w:r w:rsidR="00136970" w:rsidRPr="007032D6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7032D6" w:rsidRPr="007032D6">
        <w:rPr>
          <w:rFonts w:ascii="Times New Roman" w:eastAsia="Calibri" w:hAnsi="Times New Roman" w:cs="Times New Roman"/>
          <w:sz w:val="24"/>
          <w:szCs w:val="24"/>
        </w:rPr>
        <w:t>22</w:t>
      </w:r>
      <w:r w:rsidRPr="007032D6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 w:rsidRPr="007032D6">
        <w:rPr>
          <w:rFonts w:ascii="Times New Roman" w:eastAsia="Calibri" w:hAnsi="Times New Roman" w:cs="Times New Roman"/>
          <w:sz w:val="24"/>
          <w:szCs w:val="24"/>
        </w:rPr>
        <w:t>созданных субъектов МСП</w:t>
      </w:r>
      <w:r w:rsidR="007032D6" w:rsidRPr="007032D6">
        <w:rPr>
          <w:rFonts w:ascii="Times New Roman" w:eastAsia="Calibri" w:hAnsi="Times New Roman" w:cs="Times New Roman"/>
          <w:sz w:val="24"/>
          <w:szCs w:val="24"/>
        </w:rPr>
        <w:t xml:space="preserve"> (из них – 1 юр лицо)</w:t>
      </w:r>
      <w:r w:rsidR="000B771E" w:rsidRPr="007032D6">
        <w:rPr>
          <w:rFonts w:ascii="Times New Roman" w:eastAsia="Calibri" w:hAnsi="Times New Roman" w:cs="Times New Roman"/>
          <w:sz w:val="24"/>
          <w:szCs w:val="24"/>
        </w:rPr>
        <w:t>, на 10.0</w:t>
      </w:r>
      <w:r w:rsidR="00D1356F" w:rsidRPr="007032D6">
        <w:rPr>
          <w:rFonts w:ascii="Times New Roman" w:eastAsia="Calibri" w:hAnsi="Times New Roman" w:cs="Times New Roman"/>
          <w:sz w:val="24"/>
          <w:szCs w:val="24"/>
        </w:rPr>
        <w:t>9</w:t>
      </w:r>
      <w:r w:rsidRPr="007032D6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 w:rsidRPr="007032D6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703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2D6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D66C9" w:rsidRPr="007032D6">
        <w:rPr>
          <w:rFonts w:ascii="Times New Roman" w:eastAsia="Calibri" w:hAnsi="Times New Roman" w:cs="Times New Roman"/>
          <w:sz w:val="24"/>
          <w:szCs w:val="24"/>
        </w:rPr>
        <w:t>1</w:t>
      </w:r>
      <w:r w:rsidR="00D1356F" w:rsidRPr="007032D6">
        <w:rPr>
          <w:rFonts w:ascii="Times New Roman" w:eastAsia="Calibri" w:hAnsi="Times New Roman" w:cs="Times New Roman"/>
          <w:sz w:val="24"/>
          <w:szCs w:val="24"/>
        </w:rPr>
        <w:t>8</w:t>
      </w:r>
      <w:r w:rsidRPr="007032D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4813">
        <w:rPr>
          <w:rFonts w:ascii="Times New Roman" w:eastAsia="Calibri" w:hAnsi="Times New Roman" w:cs="Times New Roman"/>
          <w:sz w:val="24"/>
          <w:szCs w:val="24"/>
        </w:rPr>
        <w:t>-4</w:t>
      </w:r>
      <w:r w:rsidRPr="007032D6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A44813">
        <w:rPr>
          <w:rFonts w:ascii="Times New Roman" w:eastAsia="Calibri" w:hAnsi="Times New Roman" w:cs="Times New Roman"/>
          <w:sz w:val="24"/>
          <w:szCs w:val="24"/>
        </w:rPr>
        <w:t>-18,18</w:t>
      </w:r>
      <w:r w:rsidR="00C51B21" w:rsidRPr="00703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2D6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7032D6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7032D6">
        <w:rPr>
          <w:rFonts w:ascii="Times New Roman" w:eastAsia="Calibri" w:hAnsi="Times New Roman" w:cs="Times New Roman"/>
          <w:sz w:val="24"/>
          <w:szCs w:val="24"/>
        </w:rPr>
        <w:t>з</w:t>
      </w:r>
      <w:r w:rsidR="00136970" w:rsidRPr="007032D6">
        <w:rPr>
          <w:rFonts w:ascii="Times New Roman" w:eastAsia="Calibri" w:hAnsi="Times New Roman" w:cs="Times New Roman"/>
          <w:sz w:val="24"/>
          <w:szCs w:val="24"/>
        </w:rPr>
        <w:t xml:space="preserve">анимали </w:t>
      </w:r>
      <w:r w:rsidR="00A44813">
        <w:rPr>
          <w:rFonts w:ascii="Times New Roman" w:eastAsia="Calibri" w:hAnsi="Times New Roman" w:cs="Times New Roman"/>
          <w:sz w:val="24"/>
          <w:szCs w:val="24"/>
        </w:rPr>
        <w:t>95,5</w:t>
      </w:r>
      <w:r w:rsidR="00136970" w:rsidRPr="007032D6">
        <w:rPr>
          <w:rFonts w:ascii="Times New Roman" w:eastAsia="Calibri" w:hAnsi="Times New Roman" w:cs="Times New Roman"/>
          <w:sz w:val="24"/>
          <w:szCs w:val="24"/>
        </w:rPr>
        <w:t xml:space="preserve"> %, в текущем – </w:t>
      </w:r>
      <w:r w:rsidR="00D1356F" w:rsidRPr="007032D6">
        <w:rPr>
          <w:rFonts w:ascii="Times New Roman" w:eastAsia="Calibri" w:hAnsi="Times New Roman" w:cs="Times New Roman"/>
          <w:sz w:val="24"/>
          <w:szCs w:val="24"/>
        </w:rPr>
        <w:t>88,89</w:t>
      </w:r>
      <w:r w:rsidR="00890CE6" w:rsidRPr="007032D6">
        <w:rPr>
          <w:rFonts w:ascii="Times New Roman" w:eastAsia="Calibri" w:hAnsi="Times New Roman" w:cs="Times New Roman"/>
          <w:sz w:val="24"/>
          <w:szCs w:val="24"/>
        </w:rPr>
        <w:t xml:space="preserve"> % (</w:t>
      </w:r>
      <w:r w:rsidR="004D63F2" w:rsidRPr="007032D6"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890CE6" w:rsidRPr="00703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4C3" w:rsidRPr="007032D6">
        <w:rPr>
          <w:rFonts w:ascii="Times New Roman" w:eastAsia="Calibri" w:hAnsi="Times New Roman" w:cs="Times New Roman"/>
          <w:sz w:val="24"/>
          <w:szCs w:val="24"/>
        </w:rPr>
        <w:t xml:space="preserve">по удельному весу </w:t>
      </w:r>
      <w:r w:rsidR="00890CE6" w:rsidRPr="007032D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44813">
        <w:rPr>
          <w:rFonts w:ascii="Times New Roman" w:eastAsia="Calibri" w:hAnsi="Times New Roman" w:cs="Times New Roman"/>
          <w:sz w:val="24"/>
          <w:szCs w:val="24"/>
        </w:rPr>
        <w:t>6,61</w:t>
      </w:r>
      <w:r w:rsidR="00C51B21" w:rsidRPr="00703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2D6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EE3D4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E3D4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EE3D4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D4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EE3D45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EE3D45" w:rsidRDefault="000B771E" w:rsidP="00A4481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4481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A2F01"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EE3D45" w:rsidRDefault="000B771E" w:rsidP="00A4481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4481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A2F01"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 w:rsidRPr="00EE3D45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EE3D4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5940CF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36,4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4D63F2" w:rsidP="00712A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16,7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3D45" w:rsidRPr="00EE3D45">
              <w:rPr>
                <w:rFonts w:ascii="Times New Roman" w:hAnsi="Times New Roman"/>
                <w:b/>
                <w:sz w:val="18"/>
                <w:szCs w:val="18"/>
              </w:rPr>
              <w:t>62,5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85415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4D63F2" w:rsidP="00EE3D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4</w:t>
            </w:r>
            <w:r w:rsidR="00EE3D45" w:rsidRPr="00EE3D4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EE3D45" w:rsidP="009F325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4D63F2" w:rsidRPr="00EE3D45">
              <w:rPr>
                <w:rFonts w:ascii="Times New Roman" w:hAnsi="Times New Roman"/>
                <w:b/>
                <w:sz w:val="18"/>
                <w:szCs w:val="18"/>
              </w:rPr>
              <w:t>,1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AF5D60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4D63F2" w:rsidRPr="00EE3D4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5940CF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22,</w:t>
            </w:r>
            <w:r w:rsidR="00EE3D45" w:rsidRPr="00EE3D4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C01187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9F325C" w:rsidP="001150E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3D45" w:rsidRPr="00EE3D45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213B17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EE3D4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27,8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EE3D45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EE3D45" w:rsidRPr="00EE3D45">
              <w:rPr>
                <w:rFonts w:ascii="Times New Roman" w:hAnsi="Times New Roman"/>
                <w:sz w:val="18"/>
                <w:szCs w:val="18"/>
              </w:rPr>
              <w:t>5</w:t>
            </w:r>
            <w:r w:rsidRPr="00EE3D45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45444B" w:rsidP="00013F9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FD324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5444B"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EE3D45"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18,2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45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38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</w:t>
      </w:r>
      <w:r w:rsidR="00A90EE4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570685">
        <w:rPr>
          <w:rFonts w:ascii="Times New Roman" w:eastAsia="Calibri" w:hAnsi="Times New Roman" w:cs="Times New Roman"/>
          <w:sz w:val="24"/>
          <w:szCs w:val="24"/>
        </w:rPr>
        <w:t>9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570685">
        <w:rPr>
          <w:rFonts w:ascii="Times New Roman" w:eastAsia="Calibri" w:hAnsi="Times New Roman" w:cs="Times New Roman"/>
          <w:sz w:val="24"/>
          <w:szCs w:val="24"/>
        </w:rPr>
        <w:t>9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4D63F2">
        <w:rPr>
          <w:rFonts w:ascii="Times New Roman" w:eastAsia="Calibri" w:hAnsi="Times New Roman" w:cs="Times New Roman"/>
          <w:sz w:val="24"/>
          <w:szCs w:val="24"/>
        </w:rPr>
        <w:t xml:space="preserve">меньше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предприятий в сферах деятельнос</w:t>
      </w:r>
      <w:r w:rsidRPr="00B67B38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4D63F2">
        <w:rPr>
          <w:rFonts w:ascii="Times New Roman" w:eastAsia="Calibri" w:hAnsi="Times New Roman" w:cs="Times New Roman"/>
          <w:sz w:val="24"/>
          <w:szCs w:val="24"/>
        </w:rPr>
        <w:t>3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70685">
        <w:rPr>
          <w:rFonts w:ascii="Times New Roman" w:eastAsia="Calibri" w:hAnsi="Times New Roman" w:cs="Times New Roman"/>
          <w:sz w:val="24"/>
          <w:szCs w:val="24"/>
        </w:rPr>
        <w:t>8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),  строительство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325C">
        <w:rPr>
          <w:rFonts w:ascii="Times New Roman" w:eastAsia="Calibri" w:hAnsi="Times New Roman" w:cs="Times New Roman"/>
          <w:sz w:val="24"/>
          <w:szCs w:val="24"/>
        </w:rPr>
        <w:t>1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685">
        <w:rPr>
          <w:rFonts w:ascii="Times New Roman" w:eastAsia="Calibri" w:hAnsi="Times New Roman" w:cs="Times New Roman"/>
          <w:sz w:val="24"/>
          <w:szCs w:val="24"/>
        </w:rPr>
        <w:t>против 5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B10A9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A9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B10A9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B10A95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A9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44813" w:rsidRPr="00B10A95">
        <w:rPr>
          <w:rFonts w:ascii="Times New Roman" w:hAnsi="Times New Roman" w:cs="Times New Roman"/>
          <w:sz w:val="24"/>
          <w:szCs w:val="24"/>
        </w:rPr>
        <w:t>сентября</w:t>
      </w:r>
      <w:r w:rsidR="00295ED5" w:rsidRPr="00B10A95">
        <w:rPr>
          <w:rFonts w:ascii="Times New Roman" w:hAnsi="Times New Roman" w:cs="Times New Roman"/>
          <w:sz w:val="24"/>
          <w:szCs w:val="24"/>
        </w:rPr>
        <w:t xml:space="preserve"> </w:t>
      </w:r>
      <w:r w:rsidRPr="00B10A95">
        <w:rPr>
          <w:rFonts w:ascii="Times New Roman" w:hAnsi="Times New Roman" w:cs="Times New Roman"/>
          <w:sz w:val="24"/>
          <w:szCs w:val="24"/>
        </w:rPr>
        <w:t>202</w:t>
      </w:r>
      <w:r w:rsidR="00CE77F2" w:rsidRPr="00B10A95">
        <w:rPr>
          <w:rFonts w:ascii="Times New Roman" w:hAnsi="Times New Roman" w:cs="Times New Roman"/>
          <w:sz w:val="24"/>
          <w:szCs w:val="24"/>
        </w:rPr>
        <w:t>4</w:t>
      </w:r>
      <w:r w:rsidRPr="00B10A9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4813" w:rsidRPr="00B10A95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CE77F2" w:rsidRPr="00B10A95">
        <w:rPr>
          <w:rFonts w:ascii="Times New Roman" w:hAnsi="Times New Roman" w:cs="Times New Roman"/>
          <w:sz w:val="24"/>
          <w:szCs w:val="24"/>
        </w:rPr>
        <w:t>2025</w:t>
      </w:r>
      <w:r w:rsidRPr="00B10A95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B10A9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10A95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B10A95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B10A95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B10A95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B10A95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1B286C" w:rsidRPr="00B10A95">
        <w:rPr>
          <w:rFonts w:ascii="Times New Roman" w:hAnsi="Times New Roman" w:cs="Times New Roman"/>
          <w:sz w:val="24"/>
          <w:szCs w:val="24"/>
        </w:rPr>
        <w:t>8</w:t>
      </w:r>
      <w:r w:rsidR="00A44813" w:rsidRPr="00B10A95">
        <w:rPr>
          <w:rFonts w:ascii="Times New Roman" w:hAnsi="Times New Roman" w:cs="Times New Roman"/>
          <w:sz w:val="24"/>
          <w:szCs w:val="24"/>
        </w:rPr>
        <w:t>9</w:t>
      </w:r>
      <w:r w:rsidRPr="00B10A95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A44813" w:rsidRPr="00B10A95">
        <w:rPr>
          <w:rFonts w:ascii="Times New Roman" w:hAnsi="Times New Roman" w:cs="Times New Roman"/>
          <w:sz w:val="24"/>
          <w:szCs w:val="24"/>
        </w:rPr>
        <w:t>90</w:t>
      </w:r>
      <w:r w:rsidR="00C7050E" w:rsidRPr="00B10A95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C17CDE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A95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B10A95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B10A95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B10A95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1B286C" w:rsidRPr="00B10A95">
        <w:rPr>
          <w:rFonts w:ascii="Times New Roman" w:hAnsi="Times New Roman" w:cs="Times New Roman"/>
          <w:sz w:val="24"/>
          <w:szCs w:val="24"/>
        </w:rPr>
        <w:t>снизилось</w:t>
      </w:r>
      <w:r w:rsidR="00A46BED" w:rsidRPr="00B10A95">
        <w:rPr>
          <w:rFonts w:ascii="Times New Roman" w:hAnsi="Times New Roman" w:cs="Times New Roman"/>
          <w:sz w:val="24"/>
          <w:szCs w:val="24"/>
        </w:rPr>
        <w:t xml:space="preserve"> на </w:t>
      </w:r>
      <w:r w:rsidR="00A44813" w:rsidRPr="00B10A95">
        <w:rPr>
          <w:rFonts w:ascii="Times New Roman" w:hAnsi="Times New Roman" w:cs="Times New Roman"/>
          <w:sz w:val="24"/>
          <w:szCs w:val="24"/>
        </w:rPr>
        <w:t>3</w:t>
      </w:r>
      <w:r w:rsidR="00A46BED" w:rsidRPr="00B10A95">
        <w:rPr>
          <w:rFonts w:ascii="Times New Roman" w:hAnsi="Times New Roman" w:cs="Times New Roman"/>
          <w:sz w:val="24"/>
          <w:szCs w:val="24"/>
        </w:rPr>
        <w:t xml:space="preserve"> ед. </w:t>
      </w:r>
      <w:r w:rsidR="00295ED5" w:rsidRPr="00B10A95">
        <w:rPr>
          <w:rFonts w:ascii="Times New Roman" w:hAnsi="Times New Roman" w:cs="Times New Roman"/>
          <w:sz w:val="24"/>
          <w:szCs w:val="24"/>
        </w:rPr>
        <w:t xml:space="preserve"> и составило 1</w:t>
      </w:r>
      <w:r w:rsidR="00A44813" w:rsidRPr="00B10A95">
        <w:rPr>
          <w:rFonts w:ascii="Times New Roman" w:hAnsi="Times New Roman" w:cs="Times New Roman"/>
          <w:sz w:val="24"/>
          <w:szCs w:val="24"/>
        </w:rPr>
        <w:t>90</w:t>
      </w:r>
      <w:r w:rsidR="00295ED5" w:rsidRPr="00B10A95">
        <w:rPr>
          <w:rFonts w:ascii="Times New Roman" w:hAnsi="Times New Roman" w:cs="Times New Roman"/>
          <w:sz w:val="24"/>
          <w:szCs w:val="24"/>
        </w:rPr>
        <w:t xml:space="preserve"> ед.</w:t>
      </w:r>
      <w:r w:rsidRPr="00B10A95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</w:t>
      </w:r>
      <w:r w:rsidRPr="00C17CDE">
        <w:rPr>
          <w:rFonts w:ascii="Times New Roman" w:hAnsi="Times New Roman" w:cs="Times New Roman"/>
          <w:sz w:val="24"/>
          <w:szCs w:val="24"/>
        </w:rPr>
        <w:t xml:space="preserve"> практически не подв</w:t>
      </w:r>
      <w:r w:rsidR="00E96BC1" w:rsidRPr="00C17CDE">
        <w:rPr>
          <w:rFonts w:ascii="Times New Roman" w:hAnsi="Times New Roman" w:cs="Times New Roman"/>
          <w:sz w:val="24"/>
          <w:szCs w:val="24"/>
        </w:rPr>
        <w:t xml:space="preserve">ержено и </w:t>
      </w:r>
      <w:r w:rsidR="00E22DDB" w:rsidRPr="00C17CDE">
        <w:rPr>
          <w:rFonts w:ascii="Times New Roman" w:hAnsi="Times New Roman" w:cs="Times New Roman"/>
          <w:sz w:val="24"/>
          <w:szCs w:val="24"/>
        </w:rPr>
        <w:t xml:space="preserve">составило на 10 </w:t>
      </w:r>
      <w:r w:rsidR="00A44813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286C" w:rsidRPr="00C17CDE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E96BC1" w:rsidRPr="00C17CDE">
        <w:rPr>
          <w:rFonts w:ascii="Times New Roman" w:hAnsi="Times New Roman" w:cs="Times New Roman"/>
          <w:sz w:val="24"/>
          <w:szCs w:val="24"/>
        </w:rPr>
        <w:t>4</w:t>
      </w:r>
      <w:r w:rsidR="00A44813">
        <w:rPr>
          <w:rFonts w:ascii="Times New Roman" w:hAnsi="Times New Roman" w:cs="Times New Roman"/>
          <w:sz w:val="24"/>
          <w:szCs w:val="24"/>
        </w:rPr>
        <w:t>9</w:t>
      </w:r>
      <w:r w:rsidRPr="00C17CDE">
        <w:rPr>
          <w:rFonts w:ascii="Times New Roman" w:hAnsi="Times New Roman" w:cs="Times New Roman"/>
          <w:sz w:val="24"/>
          <w:szCs w:val="24"/>
        </w:rPr>
        <w:t xml:space="preserve"> юридических лиц и </w:t>
      </w:r>
      <w:r w:rsidR="001B286C" w:rsidRPr="00C17CDE">
        <w:rPr>
          <w:rFonts w:ascii="Times New Roman" w:hAnsi="Times New Roman" w:cs="Times New Roman"/>
          <w:sz w:val="24"/>
          <w:szCs w:val="24"/>
        </w:rPr>
        <w:t>1</w:t>
      </w:r>
      <w:r w:rsidR="00E22DDB" w:rsidRPr="00C17CDE">
        <w:rPr>
          <w:rFonts w:ascii="Times New Roman" w:hAnsi="Times New Roman" w:cs="Times New Roman"/>
          <w:sz w:val="24"/>
          <w:szCs w:val="24"/>
        </w:rPr>
        <w:t>41</w:t>
      </w:r>
      <w:r w:rsidRPr="00C17CDE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E22DDB" w:rsidRPr="00C17CDE">
        <w:rPr>
          <w:rFonts w:ascii="Times New Roman" w:hAnsi="Times New Roman" w:cs="Times New Roman"/>
          <w:sz w:val="24"/>
          <w:szCs w:val="24"/>
        </w:rPr>
        <w:t>й</w:t>
      </w:r>
      <w:r w:rsidRPr="00C17CD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E22DDB" w:rsidRPr="00C17CDE">
        <w:rPr>
          <w:rFonts w:ascii="Times New Roman" w:hAnsi="Times New Roman" w:cs="Times New Roman"/>
          <w:sz w:val="24"/>
          <w:szCs w:val="24"/>
        </w:rPr>
        <w:t>ь</w:t>
      </w:r>
      <w:r w:rsidRPr="00C17C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D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C17CDE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C17CDE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</w:t>
      </w:r>
      <w:r w:rsidRPr="0049393C">
        <w:rPr>
          <w:rFonts w:ascii="Times New Roman" w:hAnsi="Times New Roman" w:cs="Times New Roman"/>
          <w:sz w:val="24"/>
          <w:szCs w:val="24"/>
        </w:rPr>
        <w:t xml:space="preserve"> на профессиональный доход), платить с доходов от самостоятельной деятельности только </w:t>
      </w:r>
      <w:r w:rsidRPr="0049393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49393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49393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1B286C" w:rsidRDefault="00FD7939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За период с 10.0</w:t>
      </w:r>
      <w:r w:rsidR="00A44813">
        <w:rPr>
          <w:rFonts w:ascii="Times New Roman" w:hAnsi="Times New Roman" w:cs="Times New Roman"/>
          <w:sz w:val="24"/>
          <w:szCs w:val="24"/>
        </w:rPr>
        <w:t>8</w:t>
      </w:r>
      <w:r w:rsidRPr="0049393C">
        <w:rPr>
          <w:rFonts w:ascii="Times New Roman" w:hAnsi="Times New Roman" w:cs="Times New Roman"/>
          <w:sz w:val="24"/>
          <w:szCs w:val="24"/>
        </w:rPr>
        <w:t>.202</w:t>
      </w:r>
      <w:r w:rsidR="00E96BC1" w:rsidRPr="0049393C">
        <w:rPr>
          <w:rFonts w:ascii="Times New Roman" w:hAnsi="Times New Roman" w:cs="Times New Roman"/>
          <w:sz w:val="24"/>
          <w:szCs w:val="24"/>
        </w:rPr>
        <w:t>5</w:t>
      </w:r>
      <w:r w:rsidRPr="0049393C">
        <w:rPr>
          <w:rFonts w:ascii="Times New Roman" w:hAnsi="Times New Roman" w:cs="Times New Roman"/>
          <w:sz w:val="24"/>
          <w:szCs w:val="24"/>
        </w:rPr>
        <w:t xml:space="preserve"> по 10.0</w:t>
      </w:r>
      <w:r w:rsidR="00A44813">
        <w:rPr>
          <w:rFonts w:ascii="Times New Roman" w:hAnsi="Times New Roman" w:cs="Times New Roman"/>
          <w:sz w:val="24"/>
          <w:szCs w:val="24"/>
        </w:rPr>
        <w:t>9</w:t>
      </w:r>
      <w:r w:rsidRPr="0049393C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r w:rsidR="00EB3170" w:rsidRPr="0049393C">
        <w:rPr>
          <w:rFonts w:ascii="Times New Roman" w:hAnsi="Times New Roman" w:cs="Times New Roman"/>
          <w:sz w:val="24"/>
          <w:szCs w:val="24"/>
        </w:rPr>
        <w:t>зарегистрирован</w:t>
      </w:r>
      <w:r w:rsidR="00A46BED" w:rsidRPr="0049393C">
        <w:rPr>
          <w:rFonts w:ascii="Times New Roman" w:hAnsi="Times New Roman" w:cs="Times New Roman"/>
          <w:sz w:val="24"/>
          <w:szCs w:val="24"/>
        </w:rPr>
        <w:t>ы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5C089B">
        <w:rPr>
          <w:rFonts w:ascii="Times New Roman" w:hAnsi="Times New Roman" w:cs="Times New Roman"/>
          <w:sz w:val="24"/>
          <w:szCs w:val="24"/>
        </w:rPr>
        <w:t>шесть</w:t>
      </w:r>
      <w:r w:rsidR="00A44813">
        <w:rPr>
          <w:rFonts w:ascii="Times New Roman" w:hAnsi="Times New Roman" w:cs="Times New Roman"/>
          <w:sz w:val="24"/>
          <w:szCs w:val="24"/>
        </w:rPr>
        <w:t xml:space="preserve"> </w:t>
      </w:r>
      <w:r w:rsidR="00295ED5" w:rsidRPr="0049393C">
        <w:rPr>
          <w:rFonts w:ascii="Times New Roman" w:hAnsi="Times New Roman" w:cs="Times New Roman"/>
          <w:sz w:val="24"/>
          <w:szCs w:val="24"/>
        </w:rPr>
        <w:t>вновь открыты</w:t>
      </w:r>
      <w:r w:rsidR="00E22DDB">
        <w:rPr>
          <w:rFonts w:ascii="Times New Roman" w:hAnsi="Times New Roman" w:cs="Times New Roman"/>
          <w:sz w:val="24"/>
          <w:szCs w:val="24"/>
        </w:rPr>
        <w:t>х</w:t>
      </w:r>
      <w:r w:rsidR="00EB3170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Pr="0049393C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E22DDB">
        <w:rPr>
          <w:rFonts w:ascii="Times New Roman" w:hAnsi="Times New Roman" w:cs="Times New Roman"/>
          <w:sz w:val="24"/>
          <w:szCs w:val="24"/>
        </w:rPr>
        <w:t>х</w:t>
      </w:r>
      <w:r w:rsidR="00A46BED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E22DDB">
        <w:rPr>
          <w:rFonts w:ascii="Times New Roman" w:hAnsi="Times New Roman" w:cs="Times New Roman"/>
          <w:sz w:val="24"/>
          <w:szCs w:val="24"/>
        </w:rPr>
        <w:t>предпринимателя</w:t>
      </w:r>
      <w:r w:rsidR="005C089B">
        <w:rPr>
          <w:rFonts w:ascii="Times New Roman" w:hAnsi="Times New Roman" w:cs="Times New Roman"/>
          <w:sz w:val="24"/>
          <w:szCs w:val="24"/>
        </w:rPr>
        <w:t>, юр лиц</w:t>
      </w:r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r w:rsidR="00F3403E">
        <w:rPr>
          <w:rFonts w:ascii="Times New Roman" w:hAnsi="Times New Roman" w:cs="Times New Roman"/>
          <w:sz w:val="24"/>
          <w:szCs w:val="24"/>
        </w:rPr>
        <w:t>(</w:t>
      </w:r>
      <w:r w:rsidR="00E22DDB">
        <w:rPr>
          <w:rFonts w:ascii="Times New Roman" w:hAnsi="Times New Roman" w:cs="Times New Roman"/>
          <w:sz w:val="24"/>
          <w:szCs w:val="24"/>
        </w:rPr>
        <w:t>или восстановленных</w:t>
      </w:r>
      <w:r w:rsidR="00F3403E">
        <w:rPr>
          <w:rFonts w:ascii="Times New Roman" w:hAnsi="Times New Roman" w:cs="Times New Roman"/>
          <w:sz w:val="24"/>
          <w:szCs w:val="24"/>
        </w:rPr>
        <w:t>)</w:t>
      </w:r>
      <w:r w:rsidR="00E22D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4813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="00A44813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="005C089B">
        <w:rPr>
          <w:rFonts w:ascii="Times New Roman" w:hAnsi="Times New Roman" w:cs="Times New Roman"/>
          <w:sz w:val="24"/>
          <w:szCs w:val="24"/>
        </w:rPr>
        <w:t>, ИНН 671101158702 (59.11</w:t>
      </w:r>
      <w:r w:rsidR="001B286C">
        <w:rPr>
          <w:rFonts w:ascii="Times New Roman" w:hAnsi="Times New Roman" w:cs="Times New Roman"/>
          <w:sz w:val="24"/>
          <w:szCs w:val="24"/>
        </w:rPr>
        <w:t xml:space="preserve"> </w:t>
      </w:r>
      <w:r w:rsidR="005C089B">
        <w:rPr>
          <w:rFonts w:ascii="Times New Roman" w:hAnsi="Times New Roman" w:cs="Times New Roman"/>
          <w:sz w:val="24"/>
          <w:szCs w:val="24"/>
        </w:rPr>
        <w:t>производство кинофильмов, видеофильмов</w:t>
      </w:r>
      <w:r w:rsidR="001B286C">
        <w:rPr>
          <w:rFonts w:ascii="Times New Roman" w:hAnsi="Times New Roman" w:cs="Times New Roman"/>
          <w:sz w:val="24"/>
          <w:szCs w:val="24"/>
        </w:rPr>
        <w:t>)</w:t>
      </w:r>
      <w:r w:rsidR="00085FA1">
        <w:rPr>
          <w:rFonts w:ascii="Times New Roman" w:hAnsi="Times New Roman" w:cs="Times New Roman"/>
          <w:sz w:val="24"/>
          <w:szCs w:val="24"/>
        </w:rPr>
        <w:t xml:space="preserve">, </w:t>
      </w:r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89B">
        <w:rPr>
          <w:rFonts w:ascii="Times New Roman" w:hAnsi="Times New Roman" w:cs="Times New Roman"/>
          <w:sz w:val="24"/>
          <w:szCs w:val="24"/>
        </w:rPr>
        <w:t>Владычкин</w:t>
      </w:r>
      <w:proofErr w:type="spellEnd"/>
      <w:r w:rsidR="005C089B">
        <w:rPr>
          <w:rFonts w:ascii="Times New Roman" w:hAnsi="Times New Roman" w:cs="Times New Roman"/>
          <w:sz w:val="24"/>
          <w:szCs w:val="24"/>
        </w:rPr>
        <w:t xml:space="preserve"> Павел Владимирович</w:t>
      </w:r>
      <w:r w:rsidR="00E22DDB">
        <w:rPr>
          <w:rFonts w:ascii="Times New Roman" w:hAnsi="Times New Roman" w:cs="Times New Roman"/>
          <w:sz w:val="24"/>
          <w:szCs w:val="24"/>
        </w:rPr>
        <w:t>, ИНН 67110</w:t>
      </w:r>
      <w:r w:rsidR="005C089B">
        <w:rPr>
          <w:rFonts w:ascii="Times New Roman" w:hAnsi="Times New Roman" w:cs="Times New Roman"/>
          <w:sz w:val="24"/>
          <w:szCs w:val="24"/>
        </w:rPr>
        <w:t>1196730</w:t>
      </w:r>
      <w:r w:rsidR="00E22DDB">
        <w:rPr>
          <w:rFonts w:ascii="Times New Roman" w:hAnsi="Times New Roman" w:cs="Times New Roman"/>
          <w:sz w:val="24"/>
          <w:szCs w:val="24"/>
        </w:rPr>
        <w:t xml:space="preserve"> (47.91 торговля по почте), </w:t>
      </w:r>
      <w:r w:rsidR="005C089B">
        <w:rPr>
          <w:rFonts w:ascii="Times New Roman" w:hAnsi="Times New Roman" w:cs="Times New Roman"/>
          <w:sz w:val="24"/>
          <w:szCs w:val="24"/>
        </w:rPr>
        <w:t xml:space="preserve">Исаева Наталья Сергеевна, ИНН 671101120434 (69.20 </w:t>
      </w:r>
      <w:proofErr w:type="spellStart"/>
      <w:r w:rsidR="005C089B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="005C089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C089B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="005C089B">
        <w:rPr>
          <w:rFonts w:ascii="Times New Roman" w:hAnsi="Times New Roman" w:cs="Times New Roman"/>
          <w:sz w:val="24"/>
          <w:szCs w:val="24"/>
        </w:rPr>
        <w:t xml:space="preserve"> бух услуг), ООО «</w:t>
      </w:r>
      <w:proofErr w:type="spellStart"/>
      <w:r w:rsidR="005C089B">
        <w:rPr>
          <w:rFonts w:ascii="Times New Roman" w:hAnsi="Times New Roman" w:cs="Times New Roman"/>
          <w:sz w:val="24"/>
          <w:szCs w:val="24"/>
        </w:rPr>
        <w:t>Смолтранс</w:t>
      </w:r>
      <w:proofErr w:type="spellEnd"/>
      <w:r w:rsidR="005C089B">
        <w:rPr>
          <w:rFonts w:ascii="Times New Roman" w:hAnsi="Times New Roman" w:cs="Times New Roman"/>
          <w:sz w:val="24"/>
          <w:szCs w:val="24"/>
        </w:rPr>
        <w:t xml:space="preserve">» ИНН 6700037173 (49.41 Деятельность автомобильного грузового транспорта), Петрова </w:t>
      </w:r>
      <w:r w:rsidR="001216FC">
        <w:rPr>
          <w:rFonts w:ascii="Times New Roman" w:hAnsi="Times New Roman" w:cs="Times New Roman"/>
          <w:sz w:val="24"/>
          <w:szCs w:val="24"/>
        </w:rPr>
        <w:t>В</w:t>
      </w:r>
      <w:r w:rsidR="005C089B">
        <w:rPr>
          <w:rFonts w:ascii="Times New Roman" w:hAnsi="Times New Roman" w:cs="Times New Roman"/>
          <w:sz w:val="24"/>
          <w:szCs w:val="24"/>
        </w:rPr>
        <w:t>алентина Евгеньевна, ИНН 671100389601 (46.73 торговля оптовая лесоматериалами), Симонович Марина Николаевна</w:t>
      </w:r>
      <w:r w:rsidR="00E22DDB">
        <w:rPr>
          <w:rFonts w:ascii="Times New Roman" w:hAnsi="Times New Roman" w:cs="Times New Roman"/>
          <w:sz w:val="24"/>
          <w:szCs w:val="24"/>
        </w:rPr>
        <w:t>, ИНН 6711</w:t>
      </w:r>
      <w:r w:rsidR="005C089B">
        <w:rPr>
          <w:rFonts w:ascii="Times New Roman" w:hAnsi="Times New Roman" w:cs="Times New Roman"/>
          <w:sz w:val="24"/>
          <w:szCs w:val="24"/>
        </w:rPr>
        <w:t>00101220</w:t>
      </w:r>
      <w:r w:rsidR="00E22DDB">
        <w:rPr>
          <w:rFonts w:ascii="Times New Roman" w:hAnsi="Times New Roman" w:cs="Times New Roman"/>
          <w:sz w:val="24"/>
          <w:szCs w:val="24"/>
        </w:rPr>
        <w:t xml:space="preserve"> (</w:t>
      </w:r>
      <w:r w:rsidR="005C089B">
        <w:rPr>
          <w:rFonts w:ascii="Times New Roman" w:hAnsi="Times New Roman" w:cs="Times New Roman"/>
          <w:sz w:val="24"/>
          <w:szCs w:val="24"/>
        </w:rPr>
        <w:t>74.20 деятельность в области фотографии</w:t>
      </w:r>
      <w:r w:rsidR="00E22DDB">
        <w:rPr>
          <w:rFonts w:ascii="Times New Roman" w:hAnsi="Times New Roman" w:cs="Times New Roman"/>
          <w:sz w:val="24"/>
          <w:szCs w:val="24"/>
        </w:rPr>
        <w:t>)</w:t>
      </w:r>
      <w:r w:rsidR="001B2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86C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5C089B">
        <w:rPr>
          <w:rFonts w:ascii="Times New Roman" w:hAnsi="Times New Roman" w:cs="Times New Roman"/>
          <w:sz w:val="24"/>
          <w:szCs w:val="24"/>
        </w:rPr>
        <w:t xml:space="preserve">5 </w:t>
      </w:r>
      <w:r w:rsidR="00085FA1" w:rsidRPr="00A46BED">
        <w:rPr>
          <w:rFonts w:ascii="Times New Roman" w:hAnsi="Times New Roman" w:cs="Times New Roman"/>
          <w:sz w:val="24"/>
          <w:szCs w:val="24"/>
        </w:rPr>
        <w:t>СМСП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3BD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C089B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="005C089B">
        <w:rPr>
          <w:rFonts w:ascii="Times New Roman" w:hAnsi="Times New Roman" w:cs="Times New Roman"/>
          <w:sz w:val="24"/>
          <w:szCs w:val="24"/>
        </w:rPr>
        <w:t xml:space="preserve"> Наталья Владимировна, ИНН 482613664260 (63.91 деятельность </w:t>
      </w:r>
      <w:proofErr w:type="spellStart"/>
      <w:r w:rsidR="005C089B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="005C089B">
        <w:rPr>
          <w:rFonts w:ascii="Times New Roman" w:hAnsi="Times New Roman" w:cs="Times New Roman"/>
          <w:sz w:val="24"/>
          <w:szCs w:val="24"/>
        </w:rPr>
        <w:t xml:space="preserve"> агентств) (не сдана отчетность</w:t>
      </w:r>
      <w:r w:rsidR="005C089B" w:rsidRPr="001216FC">
        <w:rPr>
          <w:rFonts w:ascii="Times New Roman" w:hAnsi="Times New Roman" w:cs="Times New Roman"/>
          <w:sz w:val="24"/>
          <w:szCs w:val="24"/>
        </w:rPr>
        <w:t>)</w:t>
      </w:r>
      <w:r w:rsidR="005C089B" w:rsidRPr="001216FC">
        <w:rPr>
          <w:rFonts w:ascii="Times New Roman" w:hAnsi="Times New Roman" w:cs="Times New Roman"/>
          <w:b/>
          <w:sz w:val="24"/>
          <w:szCs w:val="24"/>
        </w:rPr>
        <w:t xml:space="preserve"> восстановлена</w:t>
      </w:r>
      <w:r w:rsidR="005C089B" w:rsidRPr="001216FC">
        <w:rPr>
          <w:rFonts w:ascii="Times New Roman" w:hAnsi="Times New Roman" w:cs="Times New Roman"/>
          <w:sz w:val="24"/>
          <w:szCs w:val="24"/>
        </w:rPr>
        <w:t xml:space="preserve"> в реестре</w:t>
      </w:r>
      <w:r w:rsidR="00B10A95">
        <w:rPr>
          <w:rFonts w:ascii="Times New Roman" w:hAnsi="Times New Roman" w:cs="Times New Roman"/>
          <w:sz w:val="24"/>
          <w:szCs w:val="24"/>
        </w:rPr>
        <w:t xml:space="preserve"> была на 10.08.2025, уведомлялась  неоднократно</w:t>
      </w:r>
      <w:r w:rsidR="005C08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B75A8">
        <w:rPr>
          <w:rFonts w:ascii="Times New Roman" w:hAnsi="Times New Roman" w:cs="Times New Roman"/>
          <w:sz w:val="24"/>
          <w:szCs w:val="24"/>
        </w:rPr>
        <w:t>Абдуллоев</w:t>
      </w:r>
      <w:proofErr w:type="spellEnd"/>
      <w:r w:rsidR="00EB75A8">
        <w:rPr>
          <w:rFonts w:ascii="Times New Roman" w:hAnsi="Times New Roman" w:cs="Times New Roman"/>
          <w:sz w:val="24"/>
          <w:szCs w:val="24"/>
        </w:rPr>
        <w:t xml:space="preserve"> А.У.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="00EB75A8">
        <w:rPr>
          <w:rFonts w:ascii="Times New Roman" w:hAnsi="Times New Roman" w:cs="Times New Roman"/>
          <w:sz w:val="24"/>
          <w:szCs w:val="24"/>
        </w:rPr>
        <w:t>531103597062 (01.41 молочное животноводство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0A95">
        <w:rPr>
          <w:rFonts w:ascii="Times New Roman" w:hAnsi="Times New Roman" w:cs="Times New Roman"/>
          <w:sz w:val="24"/>
          <w:szCs w:val="24"/>
        </w:rPr>
        <w:t>, прекращение деятельности 26.08</w:t>
      </w:r>
      <w:r w:rsidR="00C17CDE">
        <w:rPr>
          <w:rFonts w:ascii="Times New Roman" w:hAnsi="Times New Roman" w:cs="Times New Roman"/>
          <w:sz w:val="24"/>
          <w:szCs w:val="24"/>
        </w:rPr>
        <w:t>.2025</w:t>
      </w:r>
      <w:r w:rsidR="00B10A95">
        <w:rPr>
          <w:rFonts w:ascii="Times New Roman" w:hAnsi="Times New Roman" w:cs="Times New Roman"/>
          <w:sz w:val="24"/>
          <w:szCs w:val="24"/>
        </w:rPr>
        <w:t xml:space="preserve">, Бодунов Николай Алексеевич, ИНН 672214396548, 49.41 Деятельность </w:t>
      </w:r>
      <w:proofErr w:type="spellStart"/>
      <w:r w:rsidR="00B10A95">
        <w:rPr>
          <w:rFonts w:ascii="Times New Roman" w:hAnsi="Times New Roman" w:cs="Times New Roman"/>
          <w:sz w:val="24"/>
          <w:szCs w:val="24"/>
        </w:rPr>
        <w:t>автомоб</w:t>
      </w:r>
      <w:proofErr w:type="spellEnd"/>
      <w:r w:rsidR="00B10A95">
        <w:rPr>
          <w:rFonts w:ascii="Times New Roman" w:hAnsi="Times New Roman" w:cs="Times New Roman"/>
          <w:sz w:val="24"/>
          <w:szCs w:val="24"/>
        </w:rPr>
        <w:t xml:space="preserve">. транспорта, прекращение деятельности 04.08.2025, Мусаев </w:t>
      </w:r>
      <w:proofErr w:type="spellStart"/>
      <w:r w:rsidR="00B10A95">
        <w:rPr>
          <w:rFonts w:ascii="Times New Roman" w:hAnsi="Times New Roman" w:cs="Times New Roman"/>
          <w:sz w:val="24"/>
          <w:szCs w:val="24"/>
        </w:rPr>
        <w:t>Арстам</w:t>
      </w:r>
      <w:proofErr w:type="spellEnd"/>
      <w:r w:rsidR="00B1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A95">
        <w:rPr>
          <w:rFonts w:ascii="Times New Roman" w:hAnsi="Times New Roman" w:cs="Times New Roman"/>
          <w:sz w:val="24"/>
          <w:szCs w:val="24"/>
        </w:rPr>
        <w:t>Ибр</w:t>
      </w:r>
      <w:proofErr w:type="spellEnd"/>
      <w:r w:rsidR="00B10A95">
        <w:rPr>
          <w:rFonts w:ascii="Times New Roman" w:hAnsi="Times New Roman" w:cs="Times New Roman"/>
          <w:sz w:val="24"/>
          <w:szCs w:val="24"/>
        </w:rPr>
        <w:t xml:space="preserve">.  ИНН 671100895630, 47.91 Торговля розничная по почте, прекращение деятельности 21.08.2025, Русаков Роман Евгеньевич ИНН 671100174959, 49.41 Деятельность </w:t>
      </w:r>
      <w:proofErr w:type="spellStart"/>
      <w:r w:rsidR="00B10A95">
        <w:rPr>
          <w:rFonts w:ascii="Times New Roman" w:hAnsi="Times New Roman" w:cs="Times New Roman"/>
          <w:sz w:val="24"/>
          <w:szCs w:val="24"/>
        </w:rPr>
        <w:t>автомоб</w:t>
      </w:r>
      <w:proofErr w:type="spellEnd"/>
      <w:r w:rsidR="00B10A95">
        <w:rPr>
          <w:rFonts w:ascii="Times New Roman" w:hAnsi="Times New Roman" w:cs="Times New Roman"/>
          <w:sz w:val="24"/>
          <w:szCs w:val="24"/>
        </w:rPr>
        <w:t>. транспорта, прекращение деятельности 10.08.2025.</w:t>
      </w:r>
      <w:r w:rsidR="00B10A95">
        <w:rPr>
          <w:rFonts w:ascii="Times New Roman" w:hAnsi="Times New Roman" w:cs="Times New Roman"/>
          <w:sz w:val="24"/>
          <w:szCs w:val="24"/>
        </w:rPr>
        <w:br/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86C" w:rsidRPr="00FB6C15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286C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13F95"/>
    <w:rsid w:val="00027A2A"/>
    <w:rsid w:val="00052C77"/>
    <w:rsid w:val="0005790B"/>
    <w:rsid w:val="00066BAC"/>
    <w:rsid w:val="000707D5"/>
    <w:rsid w:val="00071772"/>
    <w:rsid w:val="00077819"/>
    <w:rsid w:val="00084F95"/>
    <w:rsid w:val="00085A79"/>
    <w:rsid w:val="00085FA1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50E9"/>
    <w:rsid w:val="00116CA7"/>
    <w:rsid w:val="001216FC"/>
    <w:rsid w:val="00122314"/>
    <w:rsid w:val="00122E9D"/>
    <w:rsid w:val="00125976"/>
    <w:rsid w:val="001302C2"/>
    <w:rsid w:val="00136970"/>
    <w:rsid w:val="00143F19"/>
    <w:rsid w:val="001475BA"/>
    <w:rsid w:val="00173B24"/>
    <w:rsid w:val="00180CFC"/>
    <w:rsid w:val="00192C9E"/>
    <w:rsid w:val="00194761"/>
    <w:rsid w:val="001A3E9E"/>
    <w:rsid w:val="001B08D1"/>
    <w:rsid w:val="001B2083"/>
    <w:rsid w:val="001B286C"/>
    <w:rsid w:val="001B2F7D"/>
    <w:rsid w:val="001B44AB"/>
    <w:rsid w:val="001B6EDF"/>
    <w:rsid w:val="001B7BC4"/>
    <w:rsid w:val="001D70E6"/>
    <w:rsid w:val="001F15BB"/>
    <w:rsid w:val="00201A8D"/>
    <w:rsid w:val="00213B17"/>
    <w:rsid w:val="00221619"/>
    <w:rsid w:val="00235923"/>
    <w:rsid w:val="00243591"/>
    <w:rsid w:val="00246107"/>
    <w:rsid w:val="00270D2F"/>
    <w:rsid w:val="0028348D"/>
    <w:rsid w:val="00286D84"/>
    <w:rsid w:val="00295ED5"/>
    <w:rsid w:val="00295EE6"/>
    <w:rsid w:val="0029675C"/>
    <w:rsid w:val="002B2B7D"/>
    <w:rsid w:val="002C4062"/>
    <w:rsid w:val="002D4326"/>
    <w:rsid w:val="002E22EB"/>
    <w:rsid w:val="003152AF"/>
    <w:rsid w:val="003174FB"/>
    <w:rsid w:val="0031792E"/>
    <w:rsid w:val="0032030C"/>
    <w:rsid w:val="003227E3"/>
    <w:rsid w:val="00333689"/>
    <w:rsid w:val="0034285B"/>
    <w:rsid w:val="0035039F"/>
    <w:rsid w:val="003620DF"/>
    <w:rsid w:val="003721B6"/>
    <w:rsid w:val="0038244B"/>
    <w:rsid w:val="00382F90"/>
    <w:rsid w:val="00394A91"/>
    <w:rsid w:val="00397DE2"/>
    <w:rsid w:val="003A2F01"/>
    <w:rsid w:val="003A3F62"/>
    <w:rsid w:val="003A613D"/>
    <w:rsid w:val="003B2390"/>
    <w:rsid w:val="003B5FE4"/>
    <w:rsid w:val="003D1B78"/>
    <w:rsid w:val="003D5E86"/>
    <w:rsid w:val="003D5F58"/>
    <w:rsid w:val="003E1A75"/>
    <w:rsid w:val="003F779F"/>
    <w:rsid w:val="00404EF5"/>
    <w:rsid w:val="0041414B"/>
    <w:rsid w:val="00424617"/>
    <w:rsid w:val="0042524C"/>
    <w:rsid w:val="004272A7"/>
    <w:rsid w:val="004272EC"/>
    <w:rsid w:val="00442712"/>
    <w:rsid w:val="00443284"/>
    <w:rsid w:val="00450EA7"/>
    <w:rsid w:val="0045444B"/>
    <w:rsid w:val="00465666"/>
    <w:rsid w:val="00466174"/>
    <w:rsid w:val="00470003"/>
    <w:rsid w:val="004743BD"/>
    <w:rsid w:val="00485ACE"/>
    <w:rsid w:val="00492131"/>
    <w:rsid w:val="0049393C"/>
    <w:rsid w:val="00493A62"/>
    <w:rsid w:val="00496064"/>
    <w:rsid w:val="004A0F89"/>
    <w:rsid w:val="004A412F"/>
    <w:rsid w:val="004A68B6"/>
    <w:rsid w:val="004A72DD"/>
    <w:rsid w:val="004B0C40"/>
    <w:rsid w:val="004B7992"/>
    <w:rsid w:val="004C1160"/>
    <w:rsid w:val="004D4500"/>
    <w:rsid w:val="004D4E80"/>
    <w:rsid w:val="004D63F2"/>
    <w:rsid w:val="004E5654"/>
    <w:rsid w:val="004F104C"/>
    <w:rsid w:val="004F2765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70685"/>
    <w:rsid w:val="00580818"/>
    <w:rsid w:val="0058287C"/>
    <w:rsid w:val="00583F49"/>
    <w:rsid w:val="005940CF"/>
    <w:rsid w:val="005C089B"/>
    <w:rsid w:val="005F4599"/>
    <w:rsid w:val="005F70FB"/>
    <w:rsid w:val="006104C3"/>
    <w:rsid w:val="00634BD1"/>
    <w:rsid w:val="00653959"/>
    <w:rsid w:val="00663AA9"/>
    <w:rsid w:val="0066707C"/>
    <w:rsid w:val="00672825"/>
    <w:rsid w:val="00672EFF"/>
    <w:rsid w:val="00681B48"/>
    <w:rsid w:val="00682971"/>
    <w:rsid w:val="006933F5"/>
    <w:rsid w:val="006A2330"/>
    <w:rsid w:val="006A4DB8"/>
    <w:rsid w:val="006A513B"/>
    <w:rsid w:val="006B6021"/>
    <w:rsid w:val="006C4A97"/>
    <w:rsid w:val="006D7AF6"/>
    <w:rsid w:val="006E003E"/>
    <w:rsid w:val="006E7E9E"/>
    <w:rsid w:val="006F6D32"/>
    <w:rsid w:val="00702DEC"/>
    <w:rsid w:val="007032D6"/>
    <w:rsid w:val="00712AD4"/>
    <w:rsid w:val="0071514F"/>
    <w:rsid w:val="00721B50"/>
    <w:rsid w:val="007316C6"/>
    <w:rsid w:val="007364C3"/>
    <w:rsid w:val="007367FB"/>
    <w:rsid w:val="0074189C"/>
    <w:rsid w:val="00742914"/>
    <w:rsid w:val="0075674E"/>
    <w:rsid w:val="00764B43"/>
    <w:rsid w:val="007B4D0D"/>
    <w:rsid w:val="007C38D5"/>
    <w:rsid w:val="007E6342"/>
    <w:rsid w:val="007E6768"/>
    <w:rsid w:val="007E7628"/>
    <w:rsid w:val="00805411"/>
    <w:rsid w:val="008243E3"/>
    <w:rsid w:val="00854152"/>
    <w:rsid w:val="00870EEA"/>
    <w:rsid w:val="008746C0"/>
    <w:rsid w:val="008776A1"/>
    <w:rsid w:val="00886580"/>
    <w:rsid w:val="008902C6"/>
    <w:rsid w:val="00890CE6"/>
    <w:rsid w:val="008A33C1"/>
    <w:rsid w:val="008A4D50"/>
    <w:rsid w:val="008D1889"/>
    <w:rsid w:val="008D60A3"/>
    <w:rsid w:val="008E6883"/>
    <w:rsid w:val="008F2C08"/>
    <w:rsid w:val="008F511A"/>
    <w:rsid w:val="008F559E"/>
    <w:rsid w:val="00900E47"/>
    <w:rsid w:val="009010A0"/>
    <w:rsid w:val="0090305E"/>
    <w:rsid w:val="009056D4"/>
    <w:rsid w:val="00907A28"/>
    <w:rsid w:val="00922C16"/>
    <w:rsid w:val="00941FBE"/>
    <w:rsid w:val="00943C83"/>
    <w:rsid w:val="00946093"/>
    <w:rsid w:val="009462B7"/>
    <w:rsid w:val="00952963"/>
    <w:rsid w:val="0096522F"/>
    <w:rsid w:val="00976CAA"/>
    <w:rsid w:val="00995C00"/>
    <w:rsid w:val="009A277F"/>
    <w:rsid w:val="009B2B82"/>
    <w:rsid w:val="009B2F51"/>
    <w:rsid w:val="009B63B8"/>
    <w:rsid w:val="009C60A4"/>
    <w:rsid w:val="009D7279"/>
    <w:rsid w:val="009E3680"/>
    <w:rsid w:val="009F325C"/>
    <w:rsid w:val="00A053BC"/>
    <w:rsid w:val="00A065FF"/>
    <w:rsid w:val="00A31B22"/>
    <w:rsid w:val="00A33A15"/>
    <w:rsid w:val="00A37A56"/>
    <w:rsid w:val="00A43B0D"/>
    <w:rsid w:val="00A44813"/>
    <w:rsid w:val="00A46BED"/>
    <w:rsid w:val="00A72734"/>
    <w:rsid w:val="00A86782"/>
    <w:rsid w:val="00A90EE4"/>
    <w:rsid w:val="00AA09D2"/>
    <w:rsid w:val="00AE0117"/>
    <w:rsid w:val="00AE04D9"/>
    <w:rsid w:val="00AF1777"/>
    <w:rsid w:val="00AF5D60"/>
    <w:rsid w:val="00B10A95"/>
    <w:rsid w:val="00B157B7"/>
    <w:rsid w:val="00B34776"/>
    <w:rsid w:val="00B50ABB"/>
    <w:rsid w:val="00B67B38"/>
    <w:rsid w:val="00B70A03"/>
    <w:rsid w:val="00B90FB5"/>
    <w:rsid w:val="00B9553C"/>
    <w:rsid w:val="00BA2B19"/>
    <w:rsid w:val="00BA705F"/>
    <w:rsid w:val="00BC3628"/>
    <w:rsid w:val="00BD1D28"/>
    <w:rsid w:val="00BD42C9"/>
    <w:rsid w:val="00C01187"/>
    <w:rsid w:val="00C01F4C"/>
    <w:rsid w:val="00C103BE"/>
    <w:rsid w:val="00C17CDE"/>
    <w:rsid w:val="00C17DBE"/>
    <w:rsid w:val="00C43D07"/>
    <w:rsid w:val="00C45EF3"/>
    <w:rsid w:val="00C4757E"/>
    <w:rsid w:val="00C51B21"/>
    <w:rsid w:val="00C65A54"/>
    <w:rsid w:val="00C70309"/>
    <w:rsid w:val="00C7050E"/>
    <w:rsid w:val="00C9349C"/>
    <w:rsid w:val="00C94E7D"/>
    <w:rsid w:val="00C9699C"/>
    <w:rsid w:val="00C974FE"/>
    <w:rsid w:val="00CA603B"/>
    <w:rsid w:val="00CB0CC3"/>
    <w:rsid w:val="00CC1CE4"/>
    <w:rsid w:val="00CE77F2"/>
    <w:rsid w:val="00CF62DD"/>
    <w:rsid w:val="00CF662C"/>
    <w:rsid w:val="00D1356F"/>
    <w:rsid w:val="00D16B18"/>
    <w:rsid w:val="00D21AA1"/>
    <w:rsid w:val="00D41150"/>
    <w:rsid w:val="00D545D7"/>
    <w:rsid w:val="00D56B51"/>
    <w:rsid w:val="00D56C13"/>
    <w:rsid w:val="00D57C44"/>
    <w:rsid w:val="00D90084"/>
    <w:rsid w:val="00D94F05"/>
    <w:rsid w:val="00DB37A6"/>
    <w:rsid w:val="00DE3E3D"/>
    <w:rsid w:val="00E06800"/>
    <w:rsid w:val="00E13149"/>
    <w:rsid w:val="00E22617"/>
    <w:rsid w:val="00E22DDB"/>
    <w:rsid w:val="00E374EF"/>
    <w:rsid w:val="00E44E53"/>
    <w:rsid w:val="00E64FFD"/>
    <w:rsid w:val="00E71D69"/>
    <w:rsid w:val="00E8263D"/>
    <w:rsid w:val="00E9558F"/>
    <w:rsid w:val="00E96BC1"/>
    <w:rsid w:val="00EA4715"/>
    <w:rsid w:val="00EA5D4E"/>
    <w:rsid w:val="00EA6DCF"/>
    <w:rsid w:val="00EB1924"/>
    <w:rsid w:val="00EB3170"/>
    <w:rsid w:val="00EB6E53"/>
    <w:rsid w:val="00EB75A8"/>
    <w:rsid w:val="00EE0C5E"/>
    <w:rsid w:val="00EE3D45"/>
    <w:rsid w:val="00EF3308"/>
    <w:rsid w:val="00F006BC"/>
    <w:rsid w:val="00F05B90"/>
    <w:rsid w:val="00F05D59"/>
    <w:rsid w:val="00F13498"/>
    <w:rsid w:val="00F2163A"/>
    <w:rsid w:val="00F266DC"/>
    <w:rsid w:val="00F31A95"/>
    <w:rsid w:val="00F3403E"/>
    <w:rsid w:val="00F34CE5"/>
    <w:rsid w:val="00F511F2"/>
    <w:rsid w:val="00F52477"/>
    <w:rsid w:val="00F70131"/>
    <w:rsid w:val="00F91B6E"/>
    <w:rsid w:val="00FB6C15"/>
    <w:rsid w:val="00FC3C5E"/>
    <w:rsid w:val="00FC7C75"/>
    <w:rsid w:val="00FD3242"/>
    <w:rsid w:val="00FD66C9"/>
    <w:rsid w:val="00FD7939"/>
    <w:rsid w:val="00FE66E1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494E-2"/>
          <c:w val="0.90758494439167858"/>
          <c:h val="0.6970123393122142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</c:v>
                </c:pt>
                <c:pt idx="1">
                  <c:v>49</c:v>
                </c:pt>
                <c:pt idx="2">
                  <c:v>49</c:v>
                </c:pt>
                <c:pt idx="3">
                  <c:v>48</c:v>
                </c:pt>
                <c:pt idx="4">
                  <c:v>48</c:v>
                </c:pt>
                <c:pt idx="5">
                  <c:v>48</c:v>
                </c:pt>
                <c:pt idx="6">
                  <c:v>49</c:v>
                </c:pt>
                <c:pt idx="7">
                  <c:v>49</c:v>
                </c:pt>
                <c:pt idx="8">
                  <c:v>49</c:v>
                </c:pt>
                <c:pt idx="9">
                  <c:v>49</c:v>
                </c:pt>
                <c:pt idx="10">
                  <c:v>48</c:v>
                </c:pt>
                <c:pt idx="11">
                  <c:v>48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482E-2"/>
                  <c:y val="4.53823272091012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800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522E-2"/>
                  <c:y val="4.538232720910186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759E-2"/>
                  <c:y val="4.807045785943771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445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452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4006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139</c:v>
                </c:pt>
                <c:pt idx="1">
                  <c:v>144</c:v>
                </c:pt>
                <c:pt idx="2">
                  <c:v>146</c:v>
                </c:pt>
                <c:pt idx="3">
                  <c:v>147</c:v>
                </c:pt>
                <c:pt idx="4">
                  <c:v>145</c:v>
                </c:pt>
                <c:pt idx="5">
                  <c:v>143</c:v>
                </c:pt>
                <c:pt idx="6">
                  <c:v>145</c:v>
                </c:pt>
                <c:pt idx="7">
                  <c:v>144</c:v>
                </c:pt>
                <c:pt idx="8">
                  <c:v>145</c:v>
                </c:pt>
                <c:pt idx="9">
                  <c:v>145</c:v>
                </c:pt>
                <c:pt idx="10">
                  <c:v>138</c:v>
                </c:pt>
                <c:pt idx="11">
                  <c:v>141</c:v>
                </c:pt>
                <c:pt idx="12">
                  <c:v>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86768640"/>
        <c:axId val="87512576"/>
      </c:lineChart>
      <c:dateAx>
        <c:axId val="8676864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12576"/>
        <c:crosses val="autoZero"/>
        <c:auto val="1"/>
        <c:lblOffset val="100"/>
        <c:baseTimeUnit val="days"/>
      </c:dateAx>
      <c:valAx>
        <c:axId val="87512576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6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851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179"/>
          <c:w val="0.55312160054070814"/>
          <c:h val="0.556721800307542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</c:v>
                </c:pt>
                <c:pt idx="1">
                  <c:v>37</c:v>
                </c:pt>
                <c:pt idx="2">
                  <c:v>19</c:v>
                </c:pt>
                <c:pt idx="3">
                  <c:v>10</c:v>
                </c:pt>
                <c:pt idx="4">
                  <c:v>30</c:v>
                </c:pt>
                <c:pt idx="5">
                  <c:v>22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139</cp:revision>
  <cp:lastPrinted>2025-09-11T12:52:00Z</cp:lastPrinted>
  <dcterms:created xsi:type="dcterms:W3CDTF">2024-10-14T12:29:00Z</dcterms:created>
  <dcterms:modified xsi:type="dcterms:W3CDTF">2025-09-12T12:15:00Z</dcterms:modified>
</cp:coreProperties>
</file>