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746C0" w:rsidRDefault="008E6883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>униципальное образование «</w:t>
      </w:r>
      <w:r w:rsidR="0096522F">
        <w:rPr>
          <w:rFonts w:ascii="Times New Roman" w:hAnsi="Times New Roman" w:cs="Times New Roman"/>
          <w:sz w:val="24"/>
          <w:szCs w:val="24"/>
          <w:u w:val="single"/>
        </w:rPr>
        <w:t>Новодугин</w:t>
      </w:r>
      <w:r w:rsidR="00096E3B">
        <w:rPr>
          <w:rFonts w:ascii="Times New Roman" w:hAnsi="Times New Roman" w:cs="Times New Roman"/>
          <w:sz w:val="24"/>
          <w:szCs w:val="24"/>
          <w:u w:val="single"/>
        </w:rPr>
        <w:t>ский муниципальный округ</w:t>
      </w:r>
      <w:r w:rsidR="008746C0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8746C0" w:rsidRDefault="008746C0" w:rsidP="008746C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>Количество субъектов МСП  в муниципальном образовании</w:t>
      </w:r>
    </w:p>
    <w:p w:rsidR="004F2765" w:rsidRPr="005449ED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Новодугин</w:t>
      </w:r>
      <w:r w:rsidRPr="005449ED">
        <w:rPr>
          <w:rFonts w:ascii="Times New Roman" w:hAnsi="Times New Roman" w:cs="Times New Roman"/>
          <w:b/>
          <w:sz w:val="24"/>
          <w:szCs w:val="24"/>
        </w:rPr>
        <w:t>ский муниципальный округ» Смоленской области</w:t>
      </w:r>
    </w:p>
    <w:p w:rsidR="004F2765" w:rsidRPr="009E05EA" w:rsidRDefault="004F2765" w:rsidP="004F2765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05EA">
        <w:rPr>
          <w:rFonts w:ascii="Times New Roman" w:hAnsi="Times New Roman" w:cs="Times New Roman"/>
          <w:b/>
          <w:sz w:val="24"/>
          <w:szCs w:val="24"/>
        </w:rPr>
        <w:t>с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</w:t>
      </w:r>
      <w:r w:rsidR="00B928AA">
        <w:rPr>
          <w:rFonts w:ascii="Times New Roman" w:hAnsi="Times New Roman" w:cs="Times New Roman"/>
          <w:b/>
          <w:sz w:val="24"/>
          <w:szCs w:val="24"/>
        </w:rPr>
        <w:t>4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5</w:t>
      </w:r>
      <w:r w:rsidRPr="009E05EA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0</w:t>
      </w:r>
      <w:r w:rsidR="00B928AA">
        <w:rPr>
          <w:rFonts w:ascii="Times New Roman" w:hAnsi="Times New Roman" w:cs="Times New Roman"/>
          <w:b/>
          <w:sz w:val="24"/>
          <w:szCs w:val="24"/>
        </w:rPr>
        <w:t>4</w:t>
      </w:r>
      <w:r w:rsidRPr="009E05EA">
        <w:rPr>
          <w:rFonts w:ascii="Times New Roman" w:hAnsi="Times New Roman" w:cs="Times New Roman"/>
          <w:b/>
          <w:sz w:val="24"/>
          <w:szCs w:val="24"/>
        </w:rPr>
        <w:t>.202</w:t>
      </w:r>
      <w:r w:rsidR="006908E4" w:rsidRPr="009E05EA">
        <w:rPr>
          <w:rFonts w:ascii="Times New Roman" w:hAnsi="Times New Roman" w:cs="Times New Roman"/>
          <w:b/>
          <w:sz w:val="24"/>
          <w:szCs w:val="24"/>
        </w:rPr>
        <w:t>6</w:t>
      </w:r>
    </w:p>
    <w:p w:rsidR="0089564C" w:rsidRPr="00D2542A" w:rsidRDefault="0089564C" w:rsidP="0089564C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89564C" w:rsidRPr="00D2542A" w:rsidTr="001936D7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B115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B115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497578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4525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10,77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5140E2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F72B8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201A3E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559C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9564C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8956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64C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E27458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25C20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9A2F5F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B115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466EC8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4,80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Гагаринский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9564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Новодугинский округ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564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564C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4,66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B115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201A3E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1559C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C38E0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C38E0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F5511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F5511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EA40E9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5140E2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201A3E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D7028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D7028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</w:tr>
      <w:tr w:rsidR="0089564C" w:rsidRPr="00D2542A" w:rsidTr="001936D7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89564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9A2F5F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9A2F5F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-5,21</w:t>
            </w:r>
          </w:p>
        </w:tc>
      </w:tr>
      <w:tr w:rsidR="0089564C" w:rsidRPr="00D2542A" w:rsidTr="001936D7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9564C" w:rsidRPr="00D2542A" w:rsidRDefault="0089564C" w:rsidP="001936D7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64C" w:rsidRPr="00D2542A" w:rsidRDefault="0089564C" w:rsidP="001936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:rsidR="0089564C" w:rsidRPr="00752B05" w:rsidRDefault="0089564C" w:rsidP="0089564C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9564C" w:rsidRDefault="0089564C" w:rsidP="008956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 xml:space="preserve"> число субъектов МСП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в 25 </w:t>
      </w:r>
      <w:r w:rsidRPr="00CA38F8">
        <w:rPr>
          <w:rFonts w:ascii="Times New Roman" w:hAnsi="Times New Roman" w:cs="Times New Roman"/>
          <w:sz w:val="24"/>
          <w:szCs w:val="24"/>
        </w:rPr>
        <w:t xml:space="preserve">муниципальных образованиях. Наибольший рост наблюдается в </w:t>
      </w:r>
      <w:proofErr w:type="gramStart"/>
      <w:r w:rsidRPr="00CA38F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A38F8">
        <w:rPr>
          <w:rFonts w:ascii="Times New Roman" w:hAnsi="Times New Roman" w:cs="Times New Roman"/>
          <w:sz w:val="24"/>
          <w:szCs w:val="24"/>
        </w:rPr>
        <w:t>. Смоленск +</w:t>
      </w:r>
      <w:r>
        <w:rPr>
          <w:rFonts w:ascii="Times New Roman" w:hAnsi="Times New Roman" w:cs="Times New Roman"/>
          <w:sz w:val="24"/>
          <w:szCs w:val="24"/>
        </w:rPr>
        <w:t xml:space="preserve">383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1,80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</w:t>
      </w:r>
      <w:r>
        <w:rPr>
          <w:rFonts w:ascii="Times New Roman" w:hAnsi="Times New Roman" w:cs="Times New Roman"/>
          <w:sz w:val="24"/>
          <w:szCs w:val="24"/>
        </w:rPr>
        <w:t>266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9,03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Pr="00CA38F8">
        <w:rPr>
          <w:rFonts w:ascii="Times New Roman" w:hAnsi="Times New Roman" w:cs="Times New Roman"/>
          <w:sz w:val="24"/>
          <w:szCs w:val="24"/>
        </w:rPr>
        <w:t xml:space="preserve"> округе +</w:t>
      </w:r>
      <w:r>
        <w:rPr>
          <w:rFonts w:ascii="Times New Roman" w:hAnsi="Times New Roman" w:cs="Times New Roman"/>
          <w:sz w:val="24"/>
          <w:szCs w:val="24"/>
        </w:rPr>
        <w:t>112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6,16</w:t>
      </w:r>
      <w:r w:rsidRPr="00CA38F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89564C" w:rsidRDefault="0089564C" w:rsidP="008956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</w:t>
      </w:r>
      <w:r>
        <w:rPr>
          <w:rFonts w:ascii="Times New Roman" w:hAnsi="Times New Roman" w:cs="Times New Roman"/>
          <w:sz w:val="24"/>
          <w:szCs w:val="24"/>
        </w:rPr>
        <w:t>Смоленский округ +104 или 3,35%, г. Смоленске +306 ед. или 1,43%)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МСП. Наибольшее снижение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1,94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на -3 ед. или -0,78%. </w:t>
      </w:r>
    </w:p>
    <w:p w:rsidR="0089564C" w:rsidRDefault="0089564C" w:rsidP="008956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688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1,70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1363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3,42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89564C" w:rsidRPr="00717382" w:rsidRDefault="0089564C" w:rsidP="008956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Новодугинс</w:t>
      </w:r>
      <w:r w:rsidRPr="00717382">
        <w:rPr>
          <w:rFonts w:ascii="Times New Roman" w:hAnsi="Times New Roman" w:cs="Times New Roman"/>
          <w:sz w:val="24"/>
          <w:szCs w:val="24"/>
        </w:rPr>
        <w:t>кий муниципальный округ» Смоленской области с 10.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по 10.</w:t>
      </w:r>
      <w:r>
        <w:rPr>
          <w:rFonts w:ascii="Times New Roman" w:hAnsi="Times New Roman" w:cs="Times New Roman"/>
          <w:sz w:val="24"/>
          <w:szCs w:val="24"/>
        </w:rPr>
        <w:t>04.</w:t>
      </w:r>
      <w:r w:rsidRPr="0071738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увеличилось на 9 ед. или на 4,66 %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1738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1738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A74D0E" w:rsidRDefault="00A74D0E" w:rsidP="008746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Динамика количества субъектов МСП </w:t>
      </w:r>
    </w:p>
    <w:p w:rsidR="003F121A" w:rsidRPr="00D2542A" w:rsidRDefault="003F121A" w:rsidP="003F121A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F121A" w:rsidRPr="0002764C" w:rsidTr="0037290A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2C2E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682939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4E45DC" w:rsidRDefault="003F121A" w:rsidP="002943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3F121A" w:rsidRPr="009465B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294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740BE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5,56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294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2F29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1B1734" w:rsidRPr="0002764C" w:rsidTr="0037290A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B23C5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23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2F2940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740BE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р.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5022A7" w:rsidRDefault="001B1734" w:rsidP="00B84D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22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EF3308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2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B84DB6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F29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Pr="009465B0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 w:rsidR="00B84D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740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1B1734" w:rsidRPr="0002764C" w:rsidTr="0037290A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1734" w:rsidRPr="009465B0" w:rsidRDefault="001B1734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Pr="0042427B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1734" w:rsidRDefault="001B1734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2943AD">
        <w:rPr>
          <w:rFonts w:ascii="Times New Roman" w:hAnsi="Times New Roman" w:cs="Times New Roman"/>
          <w:sz w:val="24"/>
          <w:szCs w:val="24"/>
        </w:rPr>
        <w:t>апрель</w:t>
      </w:r>
      <w:r w:rsidRPr="00B524B9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524B9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r>
        <w:rPr>
          <w:rFonts w:ascii="Times New Roman" w:hAnsi="Times New Roman" w:cs="Times New Roman"/>
          <w:bCs/>
          <w:sz w:val="24"/>
          <w:szCs w:val="24"/>
        </w:rPr>
        <w:t>Новодугин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ский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B524B9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B524B9">
        <w:rPr>
          <w:rFonts w:ascii="Times New Roman" w:hAnsi="Times New Roman" w:cs="Times New Roman"/>
          <w:sz w:val="24"/>
          <w:szCs w:val="24"/>
        </w:rPr>
        <w:t xml:space="preserve">количество юридических лиц  МСП  </w:t>
      </w:r>
      <w:r w:rsidR="00B740BE">
        <w:rPr>
          <w:rFonts w:ascii="Times New Roman" w:hAnsi="Times New Roman" w:cs="Times New Roman"/>
          <w:sz w:val="24"/>
          <w:szCs w:val="24"/>
        </w:rPr>
        <w:t xml:space="preserve">уменьшилось на 1 ед. (-1,96 %) и составило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B740B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 xml:space="preserve">, </w:t>
      </w:r>
      <w:r w:rsidR="00B740BE">
        <w:rPr>
          <w:rFonts w:ascii="Times New Roman" w:hAnsi="Times New Roman" w:cs="Times New Roman"/>
          <w:sz w:val="24"/>
          <w:szCs w:val="24"/>
        </w:rPr>
        <w:t xml:space="preserve">в тоже время за год </w:t>
      </w:r>
      <w:proofErr w:type="gramStart"/>
      <w:r w:rsidR="00B740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740BE">
        <w:rPr>
          <w:rFonts w:ascii="Times New Roman" w:hAnsi="Times New Roman" w:cs="Times New Roman"/>
          <w:sz w:val="24"/>
          <w:szCs w:val="24"/>
        </w:rPr>
        <w:t>с апреля 2025 года по апрель 2026 года) число юридических лиц увеличилось на 1 ед., прирост за год 2,04 %. По сравнению с началом года к</w:t>
      </w:r>
      <w:r w:rsidRPr="00B524B9">
        <w:rPr>
          <w:rFonts w:ascii="Times New Roman" w:hAnsi="Times New Roman" w:cs="Times New Roman"/>
          <w:sz w:val="24"/>
          <w:szCs w:val="24"/>
        </w:rPr>
        <w:t xml:space="preserve">оличество ИП </w:t>
      </w:r>
      <w:r w:rsidR="00B740BE">
        <w:rPr>
          <w:rFonts w:ascii="Times New Roman" w:hAnsi="Times New Roman" w:cs="Times New Roman"/>
          <w:sz w:val="24"/>
          <w:szCs w:val="24"/>
        </w:rPr>
        <w:t>за год увеличилось на 3</w:t>
      </w:r>
      <w:r w:rsidR="00B84DB6">
        <w:rPr>
          <w:rFonts w:ascii="Times New Roman" w:hAnsi="Times New Roman" w:cs="Times New Roman"/>
          <w:sz w:val="24"/>
          <w:szCs w:val="24"/>
        </w:rPr>
        <w:t xml:space="preserve"> ед.</w:t>
      </w:r>
      <w:r w:rsidR="00B740BE">
        <w:rPr>
          <w:rFonts w:ascii="Times New Roman" w:hAnsi="Times New Roman" w:cs="Times New Roman"/>
          <w:sz w:val="24"/>
          <w:szCs w:val="24"/>
        </w:rPr>
        <w:t xml:space="preserve"> или 2 %</w:t>
      </w:r>
      <w:r w:rsidR="00B84DB6">
        <w:rPr>
          <w:rFonts w:ascii="Times New Roman" w:hAnsi="Times New Roman" w:cs="Times New Roman"/>
          <w:sz w:val="24"/>
          <w:szCs w:val="24"/>
        </w:rPr>
        <w:t xml:space="preserve"> и составило 152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3F121A" w:rsidRPr="00B524B9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4B9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B740BE">
        <w:rPr>
          <w:rFonts w:ascii="Times New Roman" w:hAnsi="Times New Roman" w:cs="Times New Roman"/>
          <w:sz w:val="24"/>
          <w:szCs w:val="24"/>
        </w:rPr>
        <w:t>4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10.0</w:t>
      </w:r>
      <w:r w:rsidR="00B740BE">
        <w:rPr>
          <w:rFonts w:ascii="Times New Roman" w:hAnsi="Times New Roman" w:cs="Times New Roman"/>
          <w:sz w:val="24"/>
          <w:szCs w:val="24"/>
        </w:rPr>
        <w:t>4</w:t>
      </w:r>
      <w:r w:rsidRPr="00B524B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24B9">
        <w:rPr>
          <w:rFonts w:ascii="Times New Roman" w:hAnsi="Times New Roman" w:cs="Times New Roman"/>
          <w:sz w:val="24"/>
          <w:szCs w:val="24"/>
        </w:rPr>
        <w:t xml:space="preserve"> г. 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4B9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увеличилось на </w:t>
      </w:r>
      <w:r w:rsidR="00B740BE">
        <w:rPr>
          <w:rFonts w:ascii="Times New Roman" w:hAnsi="Times New Roman" w:cs="Times New Roman"/>
          <w:sz w:val="24"/>
          <w:szCs w:val="24"/>
        </w:rPr>
        <w:t>1 ед., +</w:t>
      </w:r>
      <w:r w:rsidR="00B740BE">
        <w:rPr>
          <w:rFonts w:ascii="Times New Roman" w:hAnsi="Times New Roman" w:cs="Times New Roman"/>
          <w:sz w:val="24"/>
          <w:szCs w:val="24"/>
        </w:rPr>
        <w:br/>
        <w:t>2,04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Pr="00B524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4</w:t>
      </w:r>
      <w:r w:rsidR="00B84DB6">
        <w:rPr>
          <w:rFonts w:ascii="Times New Roman" w:hAnsi="Times New Roman" w:cs="Times New Roman"/>
          <w:sz w:val="24"/>
          <w:szCs w:val="24"/>
        </w:rPr>
        <w:t>9</w:t>
      </w:r>
      <w:r w:rsidR="00B740BE">
        <w:rPr>
          <w:rFonts w:ascii="Times New Roman" w:hAnsi="Times New Roman" w:cs="Times New Roman"/>
          <w:sz w:val="24"/>
          <w:szCs w:val="24"/>
        </w:rPr>
        <w:t xml:space="preserve"> ед. до 50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B524B9">
        <w:rPr>
          <w:rFonts w:ascii="Times New Roman" w:hAnsi="Times New Roman" w:cs="Times New Roman"/>
          <w:sz w:val="24"/>
          <w:szCs w:val="24"/>
        </w:rPr>
        <w:t>), увеличение числа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24B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24B9">
        <w:rPr>
          <w:rFonts w:ascii="Times New Roman" w:hAnsi="Times New Roman" w:cs="Times New Roman"/>
          <w:sz w:val="24"/>
          <w:szCs w:val="24"/>
        </w:rPr>
        <w:t xml:space="preserve"> </w:t>
      </w:r>
      <w:r w:rsidR="00B740BE">
        <w:rPr>
          <w:rFonts w:ascii="Times New Roman" w:hAnsi="Times New Roman" w:cs="Times New Roman"/>
          <w:sz w:val="24"/>
          <w:szCs w:val="24"/>
        </w:rPr>
        <w:t>8</w:t>
      </w:r>
      <w:r w:rsidRPr="00B524B9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B740BE">
        <w:rPr>
          <w:rFonts w:ascii="Times New Roman" w:hAnsi="Times New Roman" w:cs="Times New Roman"/>
          <w:sz w:val="24"/>
          <w:szCs w:val="24"/>
        </w:rPr>
        <w:t xml:space="preserve">5,56 </w:t>
      </w:r>
      <w:r w:rsidRPr="00B524B9">
        <w:rPr>
          <w:rFonts w:ascii="Times New Roman" w:hAnsi="Times New Roman" w:cs="Times New Roman"/>
          <w:sz w:val="24"/>
          <w:szCs w:val="24"/>
        </w:rPr>
        <w:t>%.</w:t>
      </w:r>
    </w:p>
    <w:p w:rsidR="003F121A" w:rsidRPr="003227E3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«Новодугинский муниципальный округ» Смоленской области</w:t>
      </w:r>
    </w:p>
    <w:p w:rsidR="003F121A" w:rsidRDefault="003F121A" w:rsidP="003F121A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27800" cy="3180080"/>
            <wp:effectExtent l="19050" t="0" r="2540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F121A" w:rsidRPr="00EF3308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204F47">
        <w:rPr>
          <w:rFonts w:ascii="Times New Roman" w:hAnsi="Times New Roman" w:cs="Times New Roman"/>
          <w:sz w:val="24"/>
          <w:szCs w:val="24"/>
        </w:rPr>
        <w:t>апреля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F3308">
        <w:rPr>
          <w:rFonts w:ascii="Times New Roman" w:hAnsi="Times New Roman" w:cs="Times New Roman"/>
          <w:sz w:val="24"/>
          <w:szCs w:val="24"/>
        </w:rPr>
        <w:t xml:space="preserve"> по 10 </w:t>
      </w:r>
      <w:r w:rsidR="00204F47">
        <w:rPr>
          <w:rFonts w:ascii="Times New Roman" w:hAnsi="Times New Roman" w:cs="Times New Roman"/>
          <w:sz w:val="24"/>
          <w:szCs w:val="24"/>
        </w:rPr>
        <w:t>апреля</w:t>
      </w:r>
      <w:r w:rsidRPr="00EF330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увеличилась на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и число СМСП составило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04F47">
        <w:rPr>
          <w:rFonts w:ascii="Times New Roman" w:hAnsi="Times New Roman" w:cs="Times New Roman"/>
          <w:sz w:val="24"/>
          <w:szCs w:val="24"/>
        </w:rPr>
        <w:t>2</w:t>
      </w:r>
      <w:r w:rsidRPr="00EF3308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3308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января 2026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204F47">
        <w:rPr>
          <w:rFonts w:ascii="Times New Roman" w:hAnsi="Times New Roman" w:cs="Times New Roman"/>
          <w:sz w:val="24"/>
          <w:szCs w:val="24"/>
        </w:rPr>
        <w:t>апрель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30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3308">
        <w:rPr>
          <w:rFonts w:ascii="Times New Roman" w:hAnsi="Times New Roman" w:cs="Times New Roman"/>
          <w:sz w:val="24"/>
          <w:szCs w:val="24"/>
        </w:rPr>
        <w:t xml:space="preserve"> года число </w:t>
      </w:r>
      <w:r>
        <w:rPr>
          <w:rFonts w:ascii="Times New Roman" w:hAnsi="Times New Roman" w:cs="Times New Roman"/>
          <w:sz w:val="24"/>
          <w:szCs w:val="24"/>
        </w:rPr>
        <w:t xml:space="preserve">юридических лиц и </w:t>
      </w:r>
      <w:r w:rsidRPr="00EF3308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 составило </w:t>
      </w:r>
      <w:r w:rsidR="00204F47">
        <w:rPr>
          <w:rFonts w:ascii="Times New Roman" w:hAnsi="Times New Roman" w:cs="Times New Roman"/>
          <w:sz w:val="24"/>
          <w:szCs w:val="24"/>
        </w:rPr>
        <w:t>соответственно 50</w:t>
      </w:r>
      <w:r w:rsidR="00E60A8E">
        <w:rPr>
          <w:rFonts w:ascii="Times New Roman" w:hAnsi="Times New Roman" w:cs="Times New Roman"/>
          <w:sz w:val="24"/>
          <w:szCs w:val="24"/>
        </w:rPr>
        <w:t xml:space="preserve"> и 152</w:t>
      </w:r>
      <w:r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21A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040BE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 в муниципаль</w:t>
      </w:r>
      <w:r>
        <w:rPr>
          <w:rFonts w:ascii="Times New Roman" w:hAnsi="Times New Roman" w:cs="Times New Roman"/>
          <w:b/>
          <w:bCs/>
          <w:sz w:val="20"/>
          <w:szCs w:val="20"/>
        </w:rPr>
        <w:t>ном образовании «Новодугинский муниципальный округ</w:t>
      </w:r>
      <w:r w:rsidRPr="005040BE">
        <w:rPr>
          <w:rFonts w:ascii="Times New Roman" w:hAnsi="Times New Roman" w:cs="Times New Roman"/>
          <w:b/>
          <w:bCs/>
          <w:sz w:val="20"/>
          <w:szCs w:val="20"/>
        </w:rPr>
        <w:t>» Смоленской области  по видам деятельности</w:t>
      </w:r>
      <w:r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F121A" w:rsidRPr="00B51FDB" w:rsidRDefault="003F121A" w:rsidP="003F121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121A" w:rsidRPr="0042427B" w:rsidRDefault="003F121A" w:rsidP="003F121A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80810" cy="6438900"/>
            <wp:effectExtent l="19050" t="0" r="1524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3F121A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 Структура малого и среднего предпринимательства </w:t>
      </w: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</w:t>
      </w:r>
    </w:p>
    <w:p w:rsidR="003F121A" w:rsidRPr="00B51FDB" w:rsidRDefault="003F121A" w:rsidP="003F12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«Новодугинский муниципальный округ» Смоленской области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  <w:r w:rsidRPr="004B7848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9991" w:type="dxa"/>
        <w:tblInd w:w="-5" w:type="dxa"/>
        <w:tblLook w:val="04A0"/>
      </w:tblPr>
      <w:tblGrid>
        <w:gridCol w:w="4649"/>
        <w:gridCol w:w="1116"/>
        <w:gridCol w:w="1116"/>
        <w:gridCol w:w="1116"/>
        <w:gridCol w:w="997"/>
        <w:gridCol w:w="997"/>
      </w:tblGrid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DC5E4A" w:rsidRDefault="002E080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10.04</w:t>
            </w:r>
            <w:r w:rsidR="003F121A" w:rsidRPr="00DC5E4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</w:t>
            </w:r>
            <w:r w:rsidR="003F121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1A" w:rsidRPr="00B51FDB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4F071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4,48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E63887"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5,56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6027F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96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8,82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-9,52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37290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010A0" w:rsidRDefault="005C2A5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2E080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-18,18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FB748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B748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980ED4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2E0802" w:rsidRPr="00980E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D41150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F121A" w:rsidRPr="00B51FDB" w:rsidTr="0037290A">
        <w:trPr>
          <w:trHeight w:val="300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752B05" w:rsidRDefault="003F121A" w:rsidP="003729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D41150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21A" w:rsidRPr="0045444B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E63887" w:rsidRDefault="003F121A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3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2E0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696392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121A" w:rsidRPr="00A46BED" w:rsidRDefault="00E63887" w:rsidP="003729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</w:t>
            </w:r>
            <w:r w:rsidR="006963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F121A" w:rsidRDefault="003F121A" w:rsidP="003F12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D60A3" w:rsidRPr="004F6E5E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Единого реестра субъектов МСП по отраслям, в которых отмечено увеличение числа занятых субъектов МСП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период с 10 января 2026 года по 10 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 года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стали: </w:t>
      </w:r>
      <w:r w:rsidR="00901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290A" w:rsidRPr="00752B05">
        <w:rPr>
          <w:rFonts w:ascii="Times New Roman" w:hAnsi="Times New Roman" w:cs="Times New Roman"/>
          <w:sz w:val="20"/>
          <w:szCs w:val="20"/>
        </w:rPr>
        <w:t>Торговля оптовая и розничная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4,48</w:t>
      </w:r>
      <w:r w:rsidR="009A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 </w:t>
      </w:r>
      <w:r w:rsidR="0037290A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транспортировка и хранение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(+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A22F93">
        <w:rPr>
          <w:rFonts w:ascii="Times New Roman" w:hAnsi="Times New Roman" w:cs="Times New Roman"/>
          <w:color w:val="000000" w:themeColor="text1"/>
          <w:sz w:val="24"/>
          <w:szCs w:val="24"/>
        </w:rPr>
        <w:t>5,56</w:t>
      </w:r>
      <w:r w:rsidR="00B73D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%),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прочие </w:t>
      </w:r>
      <w:r w:rsidR="00196E64">
        <w:rPr>
          <w:rFonts w:ascii="Times New Roman" w:hAnsi="Times New Roman" w:cs="Times New Roman"/>
          <w:color w:val="000000" w:themeColor="text1"/>
          <w:sz w:val="24"/>
          <w:szCs w:val="24"/>
        </w:rPr>
        <w:t>(+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 или </w:t>
      </w:r>
      <w:r w:rsidR="0069639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A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  <w:r w:rsidR="003E1A7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D60A3" w:rsidRPr="00D6552D" w:rsidRDefault="008D60A3" w:rsidP="008D60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  </w:t>
      </w:r>
      <w:r w:rsidRPr="004F6E5E">
        <w:rPr>
          <w:rFonts w:ascii="Times New Roman" w:hAnsi="Times New Roman" w:cs="Times New Roman"/>
          <w:color w:val="000000"/>
          <w:sz w:val="24"/>
          <w:szCs w:val="24"/>
        </w:rPr>
        <w:t>сельское, лесное хозяйство, охота, рыболовство и рыбоводство</w:t>
      </w:r>
      <w:r w:rsidRPr="004F6E5E">
        <w:rPr>
          <w:rFonts w:ascii="Times New Roman" w:hAnsi="Times New Roman" w:cs="Times New Roman"/>
          <w:color w:val="000000" w:themeColor="text1"/>
          <w:sz w:val="24"/>
          <w:szCs w:val="24"/>
        </w:rPr>
        <w:t>; строительство.</w:t>
      </w:r>
    </w:p>
    <w:p w:rsidR="003A2F01" w:rsidRDefault="003A2F01" w:rsidP="003A2F0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2F01" w:rsidRPr="001A0A4B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A4B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F13498" w:rsidRPr="001A0A4B" w:rsidTr="008F2C08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98" w:rsidRPr="001A0A4B" w:rsidRDefault="00F13498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934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98" w:rsidRPr="001A0A4B" w:rsidRDefault="00F13498" w:rsidP="009348B1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 202</w:t>
            </w:r>
            <w:r w:rsidR="009348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 2025*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1A0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2F195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2F1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980E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-5,88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0F5A21" w:rsidP="00FF521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41305B" w:rsidP="0041305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90CE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80E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-12,12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41305B" w:rsidP="00FE7B2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0F5A21" w:rsidP="00EE49F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1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2,78</w:t>
            </w:r>
          </w:p>
        </w:tc>
      </w:tr>
      <w:tr w:rsidR="009348B1" w:rsidRPr="001A0A4B" w:rsidTr="008F2C08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8B1" w:rsidRPr="001A0A4B" w:rsidRDefault="009348B1" w:rsidP="008F2C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0A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BD78DF" w:rsidP="008F2C0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D35099" w:rsidRDefault="009348B1" w:rsidP="00BD78D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 р.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8B1" w:rsidRPr="001A0A4B" w:rsidRDefault="0041305B" w:rsidP="00B3477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3A2F01" w:rsidRPr="001A0A4B" w:rsidRDefault="003A2F01" w:rsidP="003A2F01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A0A4B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41305B" w:rsidRPr="00CF62DD" w:rsidRDefault="0041305B" w:rsidP="0041305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2DD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10.0</w:t>
      </w:r>
      <w:r>
        <w:rPr>
          <w:rFonts w:ascii="Times New Roman" w:eastAsia="Calibri" w:hAnsi="Times New Roman" w:cs="Times New Roman"/>
          <w:sz w:val="24"/>
          <w:szCs w:val="24"/>
        </w:rPr>
        <w:t>4.2025г. было зарегистрировано 38</w:t>
      </w:r>
      <w:r w:rsidRPr="00CF62DD">
        <w:rPr>
          <w:rFonts w:ascii="Times New Roman" w:eastAsia="Calibri" w:hAnsi="Times New Roman" w:cs="Times New Roman"/>
          <w:sz w:val="24"/>
          <w:szCs w:val="24"/>
        </w:rPr>
        <w:t xml:space="preserve"> вновь </w:t>
      </w:r>
      <w:r>
        <w:rPr>
          <w:rFonts w:ascii="Times New Roman" w:eastAsia="Calibri" w:hAnsi="Times New Roman" w:cs="Times New Roman"/>
          <w:sz w:val="24"/>
          <w:szCs w:val="24"/>
        </w:rPr>
        <w:t>созданных субъектов МСП (в т.ч. 2 юридических лица), на 10.04</w:t>
      </w:r>
      <w:r w:rsidRPr="00CF62D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F6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62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г. – </w:t>
      </w:r>
      <w:r>
        <w:rPr>
          <w:rFonts w:ascii="Times New Roman" w:eastAsia="Calibri" w:hAnsi="Times New Roman" w:cs="Times New Roman"/>
          <w:sz w:val="24"/>
          <w:szCs w:val="24"/>
        </w:rPr>
        <w:t>38</w:t>
      </w:r>
      <w:r w:rsidRPr="00CF62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(в т.ч. 3 юридических лица</w:t>
      </w:r>
      <w:r w:rsidRPr="00CF62DD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F62DD">
        <w:rPr>
          <w:rFonts w:ascii="Times New Roman" w:eastAsia="Calibri" w:hAnsi="Times New Roman" w:cs="Times New Roman"/>
          <w:sz w:val="24"/>
          <w:szCs w:val="24"/>
        </w:rPr>
        <w:t xml:space="preserve">зменилась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незначительно </w:t>
      </w:r>
      <w:r w:rsidRPr="00CF62DD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 – в прошлом периоде ИП 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анимали 94,7 %,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текущем – 92,1 %.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3A2F01" w:rsidRPr="008A3FD8" w:rsidRDefault="003A2F01" w:rsidP="0096522F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3FD8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4"/>
        <w:tblW w:w="10330" w:type="dxa"/>
        <w:tblLook w:val="04A0"/>
      </w:tblPr>
      <w:tblGrid>
        <w:gridCol w:w="3964"/>
        <w:gridCol w:w="1041"/>
        <w:gridCol w:w="1057"/>
        <w:gridCol w:w="930"/>
        <w:gridCol w:w="992"/>
        <w:gridCol w:w="1070"/>
        <w:gridCol w:w="1276"/>
      </w:tblGrid>
      <w:tr w:rsidR="00304556" w:rsidRPr="008A3FD8" w:rsidTr="00304556">
        <w:trPr>
          <w:trHeight w:val="989"/>
        </w:trPr>
        <w:tc>
          <w:tcPr>
            <w:tcW w:w="3964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vAlign w:val="center"/>
          </w:tcPr>
          <w:p w:rsidR="00304556" w:rsidRPr="008A3FD8" w:rsidRDefault="00304556" w:rsidP="00700C4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33297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00C4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304556" w:rsidRPr="008A3FD8" w:rsidRDefault="00304556" w:rsidP="0073309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33297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304556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:rsidR="00304556" w:rsidRPr="008A3FD8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304556" w:rsidRPr="008A3FD8" w:rsidRDefault="00304556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304556" w:rsidRPr="00304556" w:rsidRDefault="00304556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видов услуг, деятельность по предоставлению прочих персональных услуг 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057" w:type="dxa"/>
            <w:vAlign w:val="center"/>
          </w:tcPr>
          <w:p w:rsidR="00CD2DDB" w:rsidRPr="00752B05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498">
              <w:rPr>
                <w:rFonts w:ascii="Times New Roman" w:hAnsi="Times New Roman"/>
                <w:sz w:val="18"/>
                <w:szCs w:val="18"/>
              </w:rPr>
              <w:t>5,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CD2DDB" w:rsidRPr="0073309E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3509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D35099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-50,</w:t>
            </w: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752B05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73309E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593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752B05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73309E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752B05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752B05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8A3FD8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CE77F2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057" w:type="dxa"/>
            <w:vAlign w:val="center"/>
          </w:tcPr>
          <w:p w:rsidR="00CD2DDB" w:rsidRPr="00CE77F2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28,9</w:t>
            </w: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712A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A3FD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-54,55</w:t>
            </w: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CE77F2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CE77F2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CE77F2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F13498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2DDB" w:rsidRPr="008A3FD8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vAlign w:val="center"/>
          </w:tcPr>
          <w:p w:rsidR="00CD2DDB" w:rsidRPr="0038244B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244B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D60"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CD2DD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9F325C">
            <w:pPr>
              <w:shd w:val="clear" w:color="auto" w:fill="FFFFFF" w:themeFill="background1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8A3FD8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A3FD8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5D6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5D60">
              <w:rPr>
                <w:rFonts w:ascii="Times New Roman" w:hAnsi="Times New Roman"/>
                <w:b/>
                <w:sz w:val="18"/>
                <w:szCs w:val="18"/>
              </w:rPr>
              <w:t>7,9</w:t>
            </w: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13,2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4D63F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66,67</w:t>
            </w: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7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5D6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5D60">
              <w:rPr>
                <w:rFonts w:ascii="Times New Roman" w:hAnsi="Times New Roman"/>
                <w:b/>
                <w:sz w:val="18"/>
                <w:szCs w:val="18"/>
              </w:rPr>
              <w:t>15,8</w:t>
            </w: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764B4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10,5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1150E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-33,33</w:t>
            </w: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  <w:hideMark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085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:rsidR="00CD2DDB" w:rsidRPr="00304556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vAlign w:val="center"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3D45">
              <w:rPr>
                <w:rFonts w:ascii="Times New Roman" w:hAnsi="Times New Roman"/>
                <w:sz w:val="20"/>
                <w:szCs w:val="20"/>
              </w:rPr>
              <w:t>Прочие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D6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0" w:type="dxa"/>
            <w:vAlign w:val="center"/>
          </w:tcPr>
          <w:p w:rsidR="00CD2DDB" w:rsidRPr="00AF5D60" w:rsidRDefault="00CD2DDB" w:rsidP="00C3578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D60"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D3509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5D5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D679D9">
            <w:pPr>
              <w:shd w:val="clear" w:color="auto" w:fill="FFFFFF" w:themeFill="background1"/>
              <w:ind w:left="-77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2,25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  <w:proofErr w:type="gramEnd"/>
          </w:p>
        </w:tc>
      </w:tr>
      <w:tr w:rsidR="00CD2DDB" w:rsidRPr="00EE3D45" w:rsidTr="00304556">
        <w:trPr>
          <w:trHeight w:val="20"/>
        </w:trPr>
        <w:tc>
          <w:tcPr>
            <w:tcW w:w="3964" w:type="dxa"/>
            <w:noWrap/>
            <w:hideMark/>
          </w:tcPr>
          <w:p w:rsidR="00CD2DDB" w:rsidRPr="00EE3D45" w:rsidRDefault="00CD2DDB" w:rsidP="008F2C0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E3D4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D2DDB" w:rsidRPr="004C7085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:rsidR="00CD2DDB" w:rsidRPr="00AF5D60" w:rsidRDefault="00CD2DDB" w:rsidP="001936D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F5D60"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930" w:type="dxa"/>
            <w:vAlign w:val="center"/>
          </w:tcPr>
          <w:p w:rsidR="00CD2DDB" w:rsidRPr="004C7085" w:rsidRDefault="00CD2DDB" w:rsidP="00BD78D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7085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D2DDB" w:rsidRPr="005627FC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27F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CD2DDB" w:rsidRPr="00E55D58" w:rsidRDefault="00CD2DDB" w:rsidP="008F2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55D58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D2DDB" w:rsidRPr="00E55D58" w:rsidRDefault="00CD2DDB" w:rsidP="00D679D9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3A2F01" w:rsidRPr="003A336D" w:rsidRDefault="003A2F01" w:rsidP="003A2F01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D45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FF5217" w:rsidRPr="00173B24" w:rsidRDefault="00FF5217" w:rsidP="00FF521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24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04</w:t>
      </w:r>
      <w:r w:rsidRPr="00173B2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73B24">
        <w:rPr>
          <w:rFonts w:ascii="Times New Roman" w:eastAsia="Calibri" w:hAnsi="Times New Roman" w:cs="Times New Roman"/>
          <w:sz w:val="24"/>
          <w:szCs w:val="24"/>
        </w:rPr>
        <w:t>г. по 10.</w:t>
      </w:r>
      <w:r>
        <w:rPr>
          <w:rFonts w:ascii="Times New Roman" w:eastAsia="Calibri" w:hAnsi="Times New Roman" w:cs="Times New Roman"/>
          <w:sz w:val="24"/>
          <w:szCs w:val="24"/>
        </w:rPr>
        <w:t>04</w:t>
      </w:r>
      <w:r w:rsidRPr="00173B24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г. среди субъектов МСП открыто значительно больше предприятий в сферах деятельности (</w:t>
      </w:r>
      <w:r>
        <w:rPr>
          <w:rFonts w:ascii="Times New Roman" w:eastAsia="Calibri" w:hAnsi="Times New Roman" w:cs="Times New Roman"/>
          <w:sz w:val="24"/>
          <w:szCs w:val="24"/>
        </w:rPr>
        <w:t>14 вместо 12</w:t>
      </w:r>
      <w:r w:rsidRPr="00173B24">
        <w:rPr>
          <w:rFonts w:ascii="Times New Roman" w:eastAsia="Calibri" w:hAnsi="Times New Roman" w:cs="Times New Roman"/>
          <w:sz w:val="24"/>
          <w:szCs w:val="24"/>
        </w:rPr>
        <w:t>),  с</w:t>
      </w:r>
      <w:r>
        <w:rPr>
          <w:rFonts w:ascii="Times New Roman" w:eastAsia="Calibri" w:hAnsi="Times New Roman" w:cs="Times New Roman"/>
          <w:sz w:val="24"/>
          <w:szCs w:val="24"/>
        </w:rPr>
        <w:t>ельское хозяйство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73B2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73B2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D543A" w:rsidRPr="00910771" w:rsidRDefault="004D543A" w:rsidP="004D54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543A" w:rsidRPr="00173B24" w:rsidRDefault="004D543A" w:rsidP="003A2F0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2F01" w:rsidRPr="00752B05" w:rsidRDefault="003A2F01" w:rsidP="003A2F01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9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3A2F01" w:rsidRPr="004D609C" w:rsidRDefault="003A2F01" w:rsidP="003A2F0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D2" w:rsidRPr="00375AD3" w:rsidRDefault="003A2F01" w:rsidP="003A2F0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0F41B7">
        <w:rPr>
          <w:rFonts w:ascii="Times New Roman" w:hAnsi="Times New Roman" w:cs="Times New Roman"/>
          <w:sz w:val="24"/>
          <w:szCs w:val="24"/>
        </w:rPr>
        <w:t>апреля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5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F41B7">
        <w:rPr>
          <w:rFonts w:ascii="Times New Roman" w:hAnsi="Times New Roman" w:cs="Times New Roman"/>
          <w:sz w:val="24"/>
          <w:szCs w:val="24"/>
        </w:rPr>
        <w:t>апрель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CE77F2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г. динамика количества субъектов МСП, осуществляющих деятельность в муниципальном образовании «Новодугинский </w:t>
      </w:r>
      <w:r w:rsidR="00485ACE" w:rsidRPr="00375AD3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 соответствовала тенденциям других муниципальных районов Смоленской области. По данным ФНС России количество субъектов МСП, осуществляющих деятельность на территории муниципального образования «Новодугинский</w:t>
      </w:r>
      <w:r w:rsidR="00485ACE" w:rsidRPr="00375AD3">
        <w:rPr>
          <w:rFonts w:ascii="Times New Roman" w:hAnsi="Times New Roman" w:cs="Times New Roman"/>
          <w:sz w:val="24"/>
          <w:szCs w:val="24"/>
        </w:rPr>
        <w:t xml:space="preserve"> муниципальный округ</w:t>
      </w:r>
      <w:r w:rsidRPr="00375AD3">
        <w:rPr>
          <w:rFonts w:ascii="Times New Roman" w:hAnsi="Times New Roman" w:cs="Times New Roman"/>
          <w:sz w:val="24"/>
          <w:szCs w:val="24"/>
        </w:rPr>
        <w:t>» Смоленской области,</w:t>
      </w:r>
      <w:r w:rsidR="00CE77F2" w:rsidRPr="00375AD3">
        <w:rPr>
          <w:rFonts w:ascii="Times New Roman" w:hAnsi="Times New Roman" w:cs="Times New Roman"/>
          <w:sz w:val="24"/>
          <w:szCs w:val="24"/>
        </w:rPr>
        <w:t xml:space="preserve"> за год </w:t>
      </w:r>
      <w:r w:rsidRPr="00375AD3">
        <w:rPr>
          <w:rFonts w:ascii="Times New Roman" w:hAnsi="Times New Roman" w:cs="Times New Roman"/>
          <w:sz w:val="24"/>
          <w:szCs w:val="24"/>
        </w:rPr>
        <w:t xml:space="preserve"> увеличилось со 1</w:t>
      </w:r>
      <w:r w:rsidR="00070C63" w:rsidRPr="00375AD3">
        <w:rPr>
          <w:rFonts w:ascii="Times New Roman" w:hAnsi="Times New Roman" w:cs="Times New Roman"/>
          <w:sz w:val="24"/>
          <w:szCs w:val="24"/>
        </w:rPr>
        <w:t>9</w:t>
      </w:r>
      <w:r w:rsidR="000F41B7">
        <w:rPr>
          <w:rFonts w:ascii="Times New Roman" w:hAnsi="Times New Roman" w:cs="Times New Roman"/>
          <w:sz w:val="24"/>
          <w:szCs w:val="24"/>
        </w:rPr>
        <w:t>3</w:t>
      </w:r>
      <w:r w:rsidRPr="00375AD3">
        <w:rPr>
          <w:rFonts w:ascii="Times New Roman" w:hAnsi="Times New Roman" w:cs="Times New Roman"/>
          <w:sz w:val="24"/>
          <w:szCs w:val="24"/>
        </w:rPr>
        <w:t xml:space="preserve"> ед. до  </w:t>
      </w:r>
      <w:r w:rsidR="000F41B7">
        <w:rPr>
          <w:rFonts w:ascii="Times New Roman" w:hAnsi="Times New Roman" w:cs="Times New Roman"/>
          <w:sz w:val="24"/>
          <w:szCs w:val="24"/>
        </w:rPr>
        <w:t>202</w:t>
      </w:r>
      <w:r w:rsidR="00C7050E" w:rsidRPr="00375AD3">
        <w:rPr>
          <w:rFonts w:ascii="Times New Roman" w:hAnsi="Times New Roman" w:cs="Times New Roman"/>
          <w:sz w:val="24"/>
          <w:szCs w:val="24"/>
        </w:rPr>
        <w:t xml:space="preserve"> ед.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 начала 202</w:t>
      </w:r>
      <w:r w:rsidR="002F0E0D" w:rsidRPr="00375AD3">
        <w:rPr>
          <w:rFonts w:ascii="Times New Roman" w:hAnsi="Times New Roman" w:cs="Times New Roman"/>
          <w:sz w:val="24"/>
          <w:szCs w:val="24"/>
        </w:rPr>
        <w:t>6</w:t>
      </w:r>
      <w:r w:rsidRPr="00375AD3">
        <w:rPr>
          <w:rFonts w:ascii="Times New Roman" w:hAnsi="Times New Roman" w:cs="Times New Roman"/>
          <w:sz w:val="24"/>
          <w:szCs w:val="24"/>
        </w:rPr>
        <w:t xml:space="preserve"> года количество заре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гистрированных субъектов МСП в </w:t>
      </w:r>
      <w:proofErr w:type="spellStart"/>
      <w:r w:rsidR="00E96BC1" w:rsidRPr="00375AD3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Pr="00375AD3">
        <w:rPr>
          <w:rFonts w:ascii="Times New Roman" w:hAnsi="Times New Roman" w:cs="Times New Roman"/>
          <w:sz w:val="24"/>
          <w:szCs w:val="24"/>
        </w:rPr>
        <w:t xml:space="preserve">  округе </w:t>
      </w:r>
      <w:r w:rsidR="005A113E">
        <w:rPr>
          <w:rFonts w:ascii="Times New Roman" w:hAnsi="Times New Roman" w:cs="Times New Roman"/>
          <w:sz w:val="24"/>
          <w:szCs w:val="24"/>
        </w:rPr>
        <w:t>увеличилось на 2</w:t>
      </w:r>
      <w:r w:rsidR="00AF2C44">
        <w:rPr>
          <w:rFonts w:ascii="Times New Roman" w:hAnsi="Times New Roman" w:cs="Times New Roman"/>
          <w:sz w:val="24"/>
          <w:szCs w:val="24"/>
        </w:rPr>
        <w:t xml:space="preserve"> ед. и 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F35583" w:rsidRPr="00375AD3">
        <w:rPr>
          <w:rFonts w:ascii="Times New Roman" w:hAnsi="Times New Roman" w:cs="Times New Roman"/>
          <w:sz w:val="24"/>
          <w:szCs w:val="24"/>
        </w:rPr>
        <w:t>20</w:t>
      </w:r>
      <w:r w:rsidR="005A113E">
        <w:rPr>
          <w:rFonts w:ascii="Times New Roman" w:hAnsi="Times New Roman" w:cs="Times New Roman"/>
          <w:sz w:val="24"/>
          <w:szCs w:val="24"/>
        </w:rPr>
        <w:t>2</w:t>
      </w:r>
      <w:r w:rsidR="00295ED5" w:rsidRPr="00375AD3">
        <w:rPr>
          <w:rFonts w:ascii="Times New Roman" w:hAnsi="Times New Roman" w:cs="Times New Roman"/>
          <w:sz w:val="24"/>
          <w:szCs w:val="24"/>
        </w:rPr>
        <w:t xml:space="preserve"> ед.</w:t>
      </w:r>
      <w:r w:rsidRPr="00375AD3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</w:t>
      </w:r>
      <w:r w:rsidR="00E96BC1" w:rsidRPr="00375AD3">
        <w:rPr>
          <w:rFonts w:ascii="Times New Roman" w:hAnsi="Times New Roman" w:cs="Times New Roman"/>
          <w:sz w:val="24"/>
          <w:szCs w:val="24"/>
        </w:rPr>
        <w:t xml:space="preserve">ержено и </w:t>
      </w:r>
      <w:r w:rsidR="00E22DDB" w:rsidRPr="00375AD3">
        <w:rPr>
          <w:rFonts w:ascii="Times New Roman" w:hAnsi="Times New Roman" w:cs="Times New Roman"/>
          <w:sz w:val="24"/>
          <w:szCs w:val="24"/>
        </w:rPr>
        <w:t xml:space="preserve">составило на 10 </w:t>
      </w:r>
      <w:r w:rsidR="005A113E">
        <w:rPr>
          <w:rFonts w:ascii="Times New Roman" w:hAnsi="Times New Roman" w:cs="Times New Roman"/>
          <w:sz w:val="24"/>
          <w:szCs w:val="24"/>
        </w:rPr>
        <w:t>апреля</w:t>
      </w:r>
      <w:r w:rsidR="00A44813" w:rsidRPr="00375AD3">
        <w:rPr>
          <w:rFonts w:ascii="Times New Roman" w:hAnsi="Times New Roman" w:cs="Times New Roman"/>
          <w:sz w:val="24"/>
          <w:szCs w:val="24"/>
        </w:rPr>
        <w:t xml:space="preserve"> </w:t>
      </w:r>
      <w:r w:rsidR="001B286C" w:rsidRPr="00375AD3">
        <w:rPr>
          <w:rFonts w:ascii="Times New Roman" w:hAnsi="Times New Roman" w:cs="Times New Roman"/>
          <w:sz w:val="24"/>
          <w:szCs w:val="24"/>
        </w:rPr>
        <w:t>202</w:t>
      </w:r>
      <w:r w:rsidR="00F35583" w:rsidRPr="00375AD3">
        <w:rPr>
          <w:rFonts w:ascii="Times New Roman" w:hAnsi="Times New Roman" w:cs="Times New Roman"/>
          <w:sz w:val="24"/>
          <w:szCs w:val="24"/>
        </w:rPr>
        <w:t>6</w:t>
      </w:r>
      <w:r w:rsidR="001B286C" w:rsidRPr="00375AD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3A15" w:rsidRPr="00375AD3">
        <w:rPr>
          <w:rFonts w:ascii="Times New Roman" w:hAnsi="Times New Roman" w:cs="Times New Roman"/>
          <w:sz w:val="24"/>
          <w:szCs w:val="24"/>
        </w:rPr>
        <w:t>5</w:t>
      </w:r>
      <w:r w:rsidR="005A113E">
        <w:rPr>
          <w:rFonts w:ascii="Times New Roman" w:hAnsi="Times New Roman" w:cs="Times New Roman"/>
          <w:sz w:val="24"/>
          <w:szCs w:val="24"/>
        </w:rPr>
        <w:t>0</w:t>
      </w:r>
      <w:r w:rsidRPr="00375AD3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5A113E">
        <w:rPr>
          <w:rFonts w:ascii="Times New Roman" w:hAnsi="Times New Roman" w:cs="Times New Roman"/>
          <w:sz w:val="24"/>
          <w:szCs w:val="24"/>
        </w:rPr>
        <w:t>их</w:t>
      </w:r>
      <w:r w:rsidRPr="00375AD3">
        <w:rPr>
          <w:rFonts w:ascii="Times New Roman" w:hAnsi="Times New Roman" w:cs="Times New Roman"/>
          <w:sz w:val="24"/>
          <w:szCs w:val="24"/>
        </w:rPr>
        <w:t xml:space="preserve"> лиц и </w:t>
      </w:r>
      <w:r w:rsidR="001B286C" w:rsidRPr="00375AD3">
        <w:rPr>
          <w:rFonts w:ascii="Times New Roman" w:hAnsi="Times New Roman" w:cs="Times New Roman"/>
          <w:sz w:val="24"/>
          <w:szCs w:val="24"/>
        </w:rPr>
        <w:t>1</w:t>
      </w:r>
      <w:r w:rsidR="00AF2C44">
        <w:rPr>
          <w:rFonts w:ascii="Times New Roman" w:hAnsi="Times New Roman" w:cs="Times New Roman"/>
          <w:sz w:val="24"/>
          <w:szCs w:val="24"/>
        </w:rPr>
        <w:t>52</w:t>
      </w:r>
      <w:r w:rsidRPr="00375AD3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070C63" w:rsidRPr="00375AD3">
        <w:rPr>
          <w:rFonts w:ascii="Times New Roman" w:hAnsi="Times New Roman" w:cs="Times New Roman"/>
          <w:sz w:val="24"/>
          <w:szCs w:val="24"/>
        </w:rPr>
        <w:t>х</w:t>
      </w:r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AF2C44">
        <w:rPr>
          <w:rFonts w:ascii="Times New Roman" w:hAnsi="Times New Roman" w:cs="Times New Roman"/>
          <w:sz w:val="24"/>
          <w:szCs w:val="24"/>
        </w:rPr>
        <w:t>я</w:t>
      </w:r>
      <w:r w:rsidRPr="00375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5A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11352D" w:rsidRPr="00375AD3">
        <w:rPr>
          <w:rFonts w:ascii="Times New Roman" w:hAnsi="Times New Roman" w:cs="Times New Roman"/>
          <w:sz w:val="24"/>
          <w:szCs w:val="24"/>
        </w:rPr>
        <w:t xml:space="preserve">более значительного </w:t>
      </w:r>
      <w:r w:rsidRPr="00375AD3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75AD3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75AD3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</w:t>
      </w:r>
      <w:proofErr w:type="gramEnd"/>
      <w:r w:rsidRPr="00375AD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деятельность.</w:t>
      </w:r>
    </w:p>
    <w:p w:rsidR="00FD7939" w:rsidRPr="00375AD3" w:rsidRDefault="00FD7939" w:rsidP="00FD79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5AD3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BD77F3" w:rsidRPr="00CD27D9" w:rsidRDefault="002F0E0D" w:rsidP="00562D15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7D9">
        <w:rPr>
          <w:rFonts w:ascii="Times New Roman" w:hAnsi="Times New Roman" w:cs="Times New Roman"/>
          <w:sz w:val="24"/>
          <w:szCs w:val="24"/>
        </w:rPr>
        <w:t>За период с 10.0</w:t>
      </w:r>
      <w:r w:rsidR="008C5202" w:rsidRPr="00CD27D9">
        <w:rPr>
          <w:rFonts w:ascii="Times New Roman" w:hAnsi="Times New Roman" w:cs="Times New Roman"/>
          <w:sz w:val="24"/>
          <w:szCs w:val="24"/>
        </w:rPr>
        <w:t>3</w:t>
      </w:r>
      <w:r w:rsidR="00FD7939" w:rsidRPr="00CD27D9">
        <w:rPr>
          <w:rFonts w:ascii="Times New Roman" w:hAnsi="Times New Roman" w:cs="Times New Roman"/>
          <w:sz w:val="24"/>
          <w:szCs w:val="24"/>
        </w:rPr>
        <w:t>.202</w:t>
      </w:r>
      <w:r w:rsidRPr="00CD27D9">
        <w:rPr>
          <w:rFonts w:ascii="Times New Roman" w:hAnsi="Times New Roman" w:cs="Times New Roman"/>
          <w:sz w:val="24"/>
          <w:szCs w:val="24"/>
        </w:rPr>
        <w:t>6</w:t>
      </w:r>
      <w:r w:rsidR="00F35583" w:rsidRPr="00CD27D9">
        <w:rPr>
          <w:rFonts w:ascii="Times New Roman" w:hAnsi="Times New Roman" w:cs="Times New Roman"/>
          <w:sz w:val="24"/>
          <w:szCs w:val="24"/>
        </w:rPr>
        <w:t xml:space="preserve"> по 10.0</w:t>
      </w:r>
      <w:r w:rsidR="008C5202" w:rsidRPr="00CD27D9">
        <w:rPr>
          <w:rFonts w:ascii="Times New Roman" w:hAnsi="Times New Roman" w:cs="Times New Roman"/>
          <w:sz w:val="24"/>
          <w:szCs w:val="24"/>
        </w:rPr>
        <w:t>4</w:t>
      </w:r>
      <w:r w:rsidR="00FD7939" w:rsidRPr="00CD27D9">
        <w:rPr>
          <w:rFonts w:ascii="Times New Roman" w:hAnsi="Times New Roman" w:cs="Times New Roman"/>
          <w:sz w:val="24"/>
          <w:szCs w:val="24"/>
        </w:rPr>
        <w:t>.202</w:t>
      </w:r>
      <w:r w:rsidR="00F35583" w:rsidRPr="00CD27D9">
        <w:rPr>
          <w:rFonts w:ascii="Times New Roman" w:hAnsi="Times New Roman" w:cs="Times New Roman"/>
          <w:sz w:val="24"/>
          <w:szCs w:val="24"/>
        </w:rPr>
        <w:t>6</w:t>
      </w:r>
      <w:r w:rsidR="00FD7939" w:rsidRPr="00CD27D9">
        <w:rPr>
          <w:rFonts w:ascii="Times New Roman" w:hAnsi="Times New Roman" w:cs="Times New Roman"/>
          <w:sz w:val="24"/>
          <w:szCs w:val="24"/>
        </w:rPr>
        <w:t xml:space="preserve"> в Едином реестре </w:t>
      </w:r>
      <w:r w:rsidR="00EB3170" w:rsidRPr="00CD27D9">
        <w:rPr>
          <w:rFonts w:ascii="Times New Roman" w:hAnsi="Times New Roman" w:cs="Times New Roman"/>
          <w:sz w:val="24"/>
          <w:szCs w:val="24"/>
        </w:rPr>
        <w:t>зарегистрирован</w:t>
      </w:r>
      <w:r w:rsidR="00F632CC" w:rsidRPr="00CD27D9">
        <w:rPr>
          <w:rFonts w:ascii="Times New Roman" w:hAnsi="Times New Roman" w:cs="Times New Roman"/>
          <w:sz w:val="24"/>
          <w:szCs w:val="24"/>
        </w:rPr>
        <w:t>ы</w:t>
      </w:r>
      <w:r w:rsidR="00295ED5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CD27D9">
        <w:rPr>
          <w:rFonts w:ascii="Times New Roman" w:hAnsi="Times New Roman" w:cs="Times New Roman"/>
          <w:sz w:val="24"/>
          <w:szCs w:val="24"/>
        </w:rPr>
        <w:t xml:space="preserve">4 </w:t>
      </w:r>
      <w:r w:rsidR="00295ED5" w:rsidRPr="00CD27D9">
        <w:rPr>
          <w:rFonts w:ascii="Times New Roman" w:hAnsi="Times New Roman" w:cs="Times New Roman"/>
          <w:sz w:val="24"/>
          <w:szCs w:val="24"/>
        </w:rPr>
        <w:t>вновь открыты</w:t>
      </w:r>
      <w:r w:rsidR="002A5E81" w:rsidRPr="00CD27D9">
        <w:rPr>
          <w:rFonts w:ascii="Times New Roman" w:hAnsi="Times New Roman" w:cs="Times New Roman"/>
          <w:sz w:val="24"/>
          <w:szCs w:val="24"/>
        </w:rPr>
        <w:t>е</w:t>
      </w:r>
      <w:r w:rsidR="00EB3170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FD7939" w:rsidRPr="00CD27D9">
        <w:rPr>
          <w:rFonts w:ascii="Times New Roman" w:hAnsi="Times New Roman" w:cs="Times New Roman"/>
          <w:sz w:val="24"/>
          <w:szCs w:val="24"/>
        </w:rPr>
        <w:t xml:space="preserve">  индивидуальны</w:t>
      </w:r>
      <w:r w:rsidR="002A5E81" w:rsidRPr="00CD27D9">
        <w:rPr>
          <w:rFonts w:ascii="Times New Roman" w:hAnsi="Times New Roman" w:cs="Times New Roman"/>
          <w:sz w:val="24"/>
          <w:szCs w:val="24"/>
        </w:rPr>
        <w:t>е</w:t>
      </w:r>
      <w:r w:rsidR="00A46BED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E22DDB" w:rsidRPr="00CD27D9">
        <w:rPr>
          <w:rFonts w:ascii="Times New Roman" w:hAnsi="Times New Roman" w:cs="Times New Roman"/>
          <w:sz w:val="24"/>
          <w:szCs w:val="24"/>
        </w:rPr>
        <w:t>предпринимат</w:t>
      </w:r>
      <w:r w:rsidR="008A3FD8" w:rsidRPr="00CD27D9">
        <w:rPr>
          <w:rFonts w:ascii="Times New Roman" w:hAnsi="Times New Roman" w:cs="Times New Roman"/>
          <w:sz w:val="24"/>
          <w:szCs w:val="24"/>
        </w:rPr>
        <w:t>ел</w:t>
      </w:r>
      <w:r w:rsidR="002A5E81" w:rsidRPr="00CD27D9">
        <w:rPr>
          <w:rFonts w:ascii="Times New Roman" w:hAnsi="Times New Roman" w:cs="Times New Roman"/>
          <w:sz w:val="24"/>
          <w:szCs w:val="24"/>
        </w:rPr>
        <w:t>и</w:t>
      </w:r>
      <w:r w:rsidR="00070C63" w:rsidRPr="00CD27D9">
        <w:rPr>
          <w:rFonts w:ascii="Times New Roman" w:hAnsi="Times New Roman" w:cs="Times New Roman"/>
          <w:sz w:val="24"/>
          <w:szCs w:val="24"/>
        </w:rPr>
        <w:t>:</w:t>
      </w:r>
      <w:r w:rsidR="00E22DDB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CD27D9" w:rsidRPr="00CD27D9">
        <w:rPr>
          <w:rFonts w:ascii="Times New Roman" w:hAnsi="Times New Roman" w:cs="Times New Roman"/>
          <w:sz w:val="24"/>
          <w:szCs w:val="24"/>
        </w:rPr>
        <w:t xml:space="preserve">Базылев Даниил Сергеевич, </w:t>
      </w:r>
      <w:r w:rsidR="00E10AEA" w:rsidRPr="00CD27D9">
        <w:rPr>
          <w:rFonts w:ascii="Times New Roman" w:hAnsi="Times New Roman" w:cs="Times New Roman"/>
          <w:sz w:val="24"/>
          <w:szCs w:val="24"/>
        </w:rPr>
        <w:t>ИНН 671501270603, 77.32 Аренда и лизинг строительных машин и оборудования</w:t>
      </w:r>
      <w:proofErr w:type="gramStart"/>
      <w:r w:rsidR="00E10AEA" w:rsidRPr="00CD27D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E6C37" w:rsidRPr="00CD27D9">
        <w:t xml:space="preserve"> </w:t>
      </w:r>
      <w:r w:rsidR="00CD27D9" w:rsidRPr="00CD27D9">
        <w:rPr>
          <w:rFonts w:ascii="Times New Roman" w:hAnsi="Times New Roman" w:cs="Times New Roman"/>
          <w:sz w:val="24"/>
          <w:szCs w:val="24"/>
        </w:rPr>
        <w:t>Никанорова Надежда Алексеевна</w:t>
      </w:r>
      <w:r w:rsidR="00BE6C37" w:rsidRPr="00CD27D9">
        <w:rPr>
          <w:rFonts w:ascii="Times New Roman" w:hAnsi="Times New Roman" w:cs="Times New Roman"/>
          <w:sz w:val="24"/>
          <w:szCs w:val="24"/>
        </w:rPr>
        <w:t>, ИНН 671100043378, 47.19 Торговля розничная прочая в неспециализированных магазинах</w:t>
      </w:r>
      <w:r w:rsidR="00E10AEA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113036" w:rsidRPr="00CD27D9">
        <w:rPr>
          <w:rFonts w:ascii="Times New Roman" w:hAnsi="Times New Roman" w:cs="Times New Roman"/>
          <w:sz w:val="24"/>
          <w:szCs w:val="24"/>
        </w:rPr>
        <w:t xml:space="preserve">, </w:t>
      </w:r>
      <w:r w:rsidR="00CD27D9" w:rsidRPr="00CD27D9">
        <w:rPr>
          <w:rFonts w:ascii="Times New Roman" w:hAnsi="Times New Roman" w:cs="Times New Roman"/>
          <w:sz w:val="24"/>
          <w:szCs w:val="24"/>
        </w:rPr>
        <w:t xml:space="preserve">Оганесян Виталий </w:t>
      </w:r>
      <w:r w:rsidR="00646D00" w:rsidRPr="00CD27D9">
        <w:rPr>
          <w:rFonts w:ascii="Times New Roman" w:hAnsi="Times New Roman" w:cs="Times New Roman"/>
          <w:sz w:val="24"/>
          <w:szCs w:val="24"/>
        </w:rPr>
        <w:t xml:space="preserve">, ИНН 742406679215 , 43.21 Производство электромонтажных работ , </w:t>
      </w:r>
      <w:r w:rsidR="00CD27D9" w:rsidRPr="00CD27D9">
        <w:rPr>
          <w:rFonts w:ascii="Times New Roman" w:hAnsi="Times New Roman" w:cs="Times New Roman"/>
          <w:sz w:val="24"/>
          <w:szCs w:val="24"/>
        </w:rPr>
        <w:t xml:space="preserve">Ячменева Ольга Александровна </w:t>
      </w:r>
      <w:r w:rsidR="00113036" w:rsidRPr="00CD27D9">
        <w:rPr>
          <w:rFonts w:ascii="Times New Roman" w:hAnsi="Times New Roman" w:cs="Times New Roman"/>
          <w:sz w:val="24"/>
          <w:szCs w:val="24"/>
        </w:rPr>
        <w:t xml:space="preserve">, ИНН 662301130548 , 47.59.1 Торговля розничная мебелью в специализированных магазинах . </w:t>
      </w:r>
    </w:p>
    <w:p w:rsidR="00562D15" w:rsidRPr="00CD27D9" w:rsidRDefault="00646D00" w:rsidP="00BD77F3">
      <w:pPr>
        <w:jc w:val="both"/>
        <w:rPr>
          <w:rFonts w:ascii="Times New Roman" w:hAnsi="Times New Roman" w:cs="Times New Roman"/>
          <w:sz w:val="24"/>
          <w:szCs w:val="24"/>
        </w:rPr>
      </w:pPr>
      <w:r w:rsidRPr="00CD27D9">
        <w:rPr>
          <w:rFonts w:ascii="Times New Roman" w:hAnsi="Times New Roman" w:cs="Times New Roman"/>
          <w:sz w:val="24"/>
          <w:szCs w:val="24"/>
        </w:rPr>
        <w:t>За период с 10.03</w:t>
      </w:r>
      <w:r w:rsidR="00562D15" w:rsidRPr="00CD27D9">
        <w:rPr>
          <w:rFonts w:ascii="Times New Roman" w:hAnsi="Times New Roman" w:cs="Times New Roman"/>
          <w:sz w:val="24"/>
          <w:szCs w:val="24"/>
        </w:rPr>
        <w:t>.2026 по 10.0</w:t>
      </w:r>
      <w:r w:rsidRPr="00CD27D9">
        <w:rPr>
          <w:rFonts w:ascii="Times New Roman" w:hAnsi="Times New Roman" w:cs="Times New Roman"/>
          <w:sz w:val="24"/>
          <w:szCs w:val="24"/>
        </w:rPr>
        <w:t>4</w:t>
      </w:r>
      <w:r w:rsidR="00562D15" w:rsidRPr="00CD27D9">
        <w:rPr>
          <w:rFonts w:ascii="Times New Roman" w:hAnsi="Times New Roman" w:cs="Times New Roman"/>
          <w:sz w:val="24"/>
          <w:szCs w:val="24"/>
        </w:rPr>
        <w:t xml:space="preserve">.2026 из Единого реестра СМСП  </w:t>
      </w:r>
      <w:proofErr w:type="gramStart"/>
      <w:r w:rsidR="00562D15" w:rsidRPr="00CD27D9">
        <w:rPr>
          <w:rFonts w:ascii="Times New Roman" w:hAnsi="Times New Roman" w:cs="Times New Roman"/>
          <w:sz w:val="24"/>
          <w:szCs w:val="24"/>
        </w:rPr>
        <w:t>исключ</w:t>
      </w:r>
      <w:r w:rsidRPr="00CD27D9">
        <w:rPr>
          <w:rFonts w:ascii="Times New Roman" w:hAnsi="Times New Roman" w:cs="Times New Roman"/>
          <w:sz w:val="24"/>
          <w:szCs w:val="24"/>
        </w:rPr>
        <w:t>ен</w:t>
      </w:r>
      <w:r w:rsidR="00CD27D9" w:rsidRPr="00CD27D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562D15" w:rsidRPr="00CD27D9">
        <w:rPr>
          <w:rFonts w:ascii="Times New Roman" w:hAnsi="Times New Roman" w:cs="Times New Roman"/>
          <w:sz w:val="24"/>
          <w:szCs w:val="24"/>
        </w:rPr>
        <w:t xml:space="preserve"> </w:t>
      </w:r>
      <w:r w:rsidR="00CD27D9">
        <w:rPr>
          <w:rFonts w:ascii="Times New Roman" w:hAnsi="Times New Roman" w:cs="Times New Roman"/>
          <w:sz w:val="24"/>
          <w:szCs w:val="24"/>
        </w:rPr>
        <w:t xml:space="preserve">5 </w:t>
      </w:r>
      <w:r w:rsidR="00562D15" w:rsidRPr="00CD27D9">
        <w:rPr>
          <w:rFonts w:ascii="Times New Roman" w:hAnsi="Times New Roman" w:cs="Times New Roman"/>
          <w:sz w:val="24"/>
          <w:szCs w:val="24"/>
        </w:rPr>
        <w:t>СМСП</w:t>
      </w:r>
      <w:r w:rsidRPr="00CD27D9">
        <w:rPr>
          <w:rFonts w:ascii="Times New Roman" w:hAnsi="Times New Roman" w:cs="Times New Roman"/>
          <w:sz w:val="24"/>
          <w:szCs w:val="24"/>
        </w:rPr>
        <w:t>:</w:t>
      </w:r>
    </w:p>
    <w:p w:rsidR="00E10AEA" w:rsidRPr="00CD27D9" w:rsidRDefault="00CD27D9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Бардаков Евгений Александрович</w:t>
      </w:r>
      <w:r w:rsidR="00E10AEA"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ИНН 672214513090, 43.21 Производство электромонтажных работ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прекратил деятельность 17.03.2026;</w:t>
      </w:r>
    </w:p>
    <w:p w:rsidR="00BE6C37" w:rsidRPr="00CD27D9" w:rsidRDefault="00CD27D9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Крупенин Вадим Петрович</w:t>
      </w:r>
      <w:r w:rsidR="00BE6C37"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ИНН 671100484862, 47.91 Торговля розничная по почте или по информационно-коммуникационной сети Интернет</w:t>
      </w: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A0939" w:rsidRP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прекратил деятельность 03.03.2026;</w:t>
      </w:r>
    </w:p>
    <w:p w:rsidR="00113036" w:rsidRPr="00CD27D9" w:rsidRDefault="00CD27D9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бщество с ограниченной ответственностью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рменайк</w:t>
      </w:r>
      <w:proofErr w:type="spellEnd"/>
      <w:r w:rsidR="00113036"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ИНН 6711011723, 10.51 Производство молока (кроме сырого) и молочной продукции</w:t>
      </w: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прекращали деятельность);</w:t>
      </w:r>
      <w:proofErr w:type="gramEnd"/>
    </w:p>
    <w:p w:rsidR="00113036" w:rsidRPr="00CD27D9" w:rsidRDefault="00CD27D9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Сахибов </w:t>
      </w:r>
      <w:proofErr w:type="spellStart"/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Аскарали</w:t>
      </w:r>
      <w:proofErr w:type="spellEnd"/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Холмирзоевич</w:t>
      </w:r>
      <w:proofErr w:type="spellEnd"/>
      <w:r w:rsidR="00113036"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ИНН 622301251191, 01.21 Выращивание винограда</w:t>
      </w: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EA0939" w:rsidRP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прекратил деятельность 12.03.2026;</w:t>
      </w:r>
    </w:p>
    <w:p w:rsidR="00EA0939" w:rsidRPr="00CD27D9" w:rsidRDefault="00CD27D9" w:rsidP="00EA09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Хоменков Александр Афанасьевич</w:t>
      </w:r>
      <w:r w:rsidR="00113036" w:rsidRPr="00CD27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ИНН 671100135251, 01.29 Выращивание прочих многолетних культур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A0939" w:rsidRP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прекратил деятельность 02.03.2026;</w:t>
      </w:r>
    </w:p>
    <w:p w:rsidR="00113036" w:rsidRPr="00562D15" w:rsidRDefault="00113036" w:rsidP="00BD77F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0DB1" w:rsidRPr="00A00DB1" w:rsidRDefault="00A00DB1" w:rsidP="00A00DB1">
      <w:pPr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D37FEC" w:rsidRPr="00E61483" w:rsidRDefault="00D37FE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43BD" w:rsidRPr="00E61483" w:rsidRDefault="004743BD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286C" w:rsidRPr="00FB6C15" w:rsidRDefault="001B286C" w:rsidP="00085F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B286C" w:rsidRPr="00FB6C15" w:rsidSect="009C60A4">
      <w:pgSz w:w="11906" w:h="16838"/>
      <w:pgMar w:top="624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F95D02"/>
    <w:multiLevelType w:val="hybridMultilevel"/>
    <w:tmpl w:val="BFF24FF4"/>
    <w:lvl w:ilvl="0" w:tplc="A538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6C0"/>
    <w:rsid w:val="000011E8"/>
    <w:rsid w:val="00001E27"/>
    <w:rsid w:val="00010545"/>
    <w:rsid w:val="00013F95"/>
    <w:rsid w:val="00027A2A"/>
    <w:rsid w:val="000377F8"/>
    <w:rsid w:val="00050DD7"/>
    <w:rsid w:val="00052C77"/>
    <w:rsid w:val="0005790B"/>
    <w:rsid w:val="00066BAC"/>
    <w:rsid w:val="00067FB9"/>
    <w:rsid w:val="000707D5"/>
    <w:rsid w:val="00070C63"/>
    <w:rsid w:val="00071772"/>
    <w:rsid w:val="00077819"/>
    <w:rsid w:val="00082DC0"/>
    <w:rsid w:val="00084F95"/>
    <w:rsid w:val="00085A79"/>
    <w:rsid w:val="00085FA1"/>
    <w:rsid w:val="000861A4"/>
    <w:rsid w:val="000956E8"/>
    <w:rsid w:val="00096E3B"/>
    <w:rsid w:val="000A4F5C"/>
    <w:rsid w:val="000B771E"/>
    <w:rsid w:val="000C2E34"/>
    <w:rsid w:val="000C61FE"/>
    <w:rsid w:val="000D6BF8"/>
    <w:rsid w:val="000E69F5"/>
    <w:rsid w:val="000E6AB6"/>
    <w:rsid w:val="000F3007"/>
    <w:rsid w:val="000F41B7"/>
    <w:rsid w:val="000F5A21"/>
    <w:rsid w:val="00102EE2"/>
    <w:rsid w:val="00103BB1"/>
    <w:rsid w:val="00106066"/>
    <w:rsid w:val="001072F5"/>
    <w:rsid w:val="00113036"/>
    <w:rsid w:val="0011352D"/>
    <w:rsid w:val="001150E9"/>
    <w:rsid w:val="00116CA7"/>
    <w:rsid w:val="001216FC"/>
    <w:rsid w:val="00122314"/>
    <w:rsid w:val="00122E9D"/>
    <w:rsid w:val="00125976"/>
    <w:rsid w:val="001302C2"/>
    <w:rsid w:val="00136970"/>
    <w:rsid w:val="00143F19"/>
    <w:rsid w:val="001475BA"/>
    <w:rsid w:val="00173B24"/>
    <w:rsid w:val="00180CFC"/>
    <w:rsid w:val="001925B2"/>
    <w:rsid w:val="00192C9E"/>
    <w:rsid w:val="001936D7"/>
    <w:rsid w:val="00194761"/>
    <w:rsid w:val="00196E64"/>
    <w:rsid w:val="001A0A4B"/>
    <w:rsid w:val="001A3E9E"/>
    <w:rsid w:val="001B08D1"/>
    <w:rsid w:val="001B1734"/>
    <w:rsid w:val="001B2083"/>
    <w:rsid w:val="001B286C"/>
    <w:rsid w:val="001B2F7D"/>
    <w:rsid w:val="001B44AB"/>
    <w:rsid w:val="001B6EDF"/>
    <w:rsid w:val="001B7BC4"/>
    <w:rsid w:val="001D70E6"/>
    <w:rsid w:val="001F0E8F"/>
    <w:rsid w:val="001F15BB"/>
    <w:rsid w:val="001F5D73"/>
    <w:rsid w:val="00201A8D"/>
    <w:rsid w:val="00204563"/>
    <w:rsid w:val="00204F47"/>
    <w:rsid w:val="00206269"/>
    <w:rsid w:val="00210983"/>
    <w:rsid w:val="00213B17"/>
    <w:rsid w:val="00221619"/>
    <w:rsid w:val="00227DA9"/>
    <w:rsid w:val="00230F72"/>
    <w:rsid w:val="00235923"/>
    <w:rsid w:val="00237F5D"/>
    <w:rsid w:val="00241D0F"/>
    <w:rsid w:val="00243591"/>
    <w:rsid w:val="002451A1"/>
    <w:rsid w:val="00246107"/>
    <w:rsid w:val="00254991"/>
    <w:rsid w:val="002708DE"/>
    <w:rsid w:val="00270D2F"/>
    <w:rsid w:val="0027616B"/>
    <w:rsid w:val="002761EE"/>
    <w:rsid w:val="002764F7"/>
    <w:rsid w:val="0028348D"/>
    <w:rsid w:val="00286D84"/>
    <w:rsid w:val="0029105F"/>
    <w:rsid w:val="002943AD"/>
    <w:rsid w:val="0029538B"/>
    <w:rsid w:val="00295ED5"/>
    <w:rsid w:val="00295EE6"/>
    <w:rsid w:val="0029675C"/>
    <w:rsid w:val="002A5E81"/>
    <w:rsid w:val="002B2B7D"/>
    <w:rsid w:val="002C040E"/>
    <w:rsid w:val="002C2E71"/>
    <w:rsid w:val="002C4062"/>
    <w:rsid w:val="002D4326"/>
    <w:rsid w:val="002E0802"/>
    <w:rsid w:val="002E22EB"/>
    <w:rsid w:val="002F0E0D"/>
    <w:rsid w:val="002F1958"/>
    <w:rsid w:val="002F2940"/>
    <w:rsid w:val="003016AD"/>
    <w:rsid w:val="00304556"/>
    <w:rsid w:val="003152AF"/>
    <w:rsid w:val="003174FB"/>
    <w:rsid w:val="0031792E"/>
    <w:rsid w:val="0032030C"/>
    <w:rsid w:val="003211DD"/>
    <w:rsid w:val="003227E3"/>
    <w:rsid w:val="00332976"/>
    <w:rsid w:val="00333689"/>
    <w:rsid w:val="0034285B"/>
    <w:rsid w:val="0035039F"/>
    <w:rsid w:val="003620DF"/>
    <w:rsid w:val="003719CB"/>
    <w:rsid w:val="0037217D"/>
    <w:rsid w:val="003721B6"/>
    <w:rsid w:val="0037290A"/>
    <w:rsid w:val="00375AD3"/>
    <w:rsid w:val="00376168"/>
    <w:rsid w:val="0038244B"/>
    <w:rsid w:val="00382F90"/>
    <w:rsid w:val="003844C3"/>
    <w:rsid w:val="00387B6C"/>
    <w:rsid w:val="00394A91"/>
    <w:rsid w:val="00397DE2"/>
    <w:rsid w:val="003A1053"/>
    <w:rsid w:val="003A2F01"/>
    <w:rsid w:val="003A385A"/>
    <w:rsid w:val="003A3F62"/>
    <w:rsid w:val="003A613D"/>
    <w:rsid w:val="003B2390"/>
    <w:rsid w:val="003B3CFA"/>
    <w:rsid w:val="003B5FE4"/>
    <w:rsid w:val="003D1B78"/>
    <w:rsid w:val="003D583F"/>
    <w:rsid w:val="003D5E86"/>
    <w:rsid w:val="003D5F58"/>
    <w:rsid w:val="003E1A75"/>
    <w:rsid w:val="003E430D"/>
    <w:rsid w:val="003F121A"/>
    <w:rsid w:val="003F779F"/>
    <w:rsid w:val="00404EF5"/>
    <w:rsid w:val="00405777"/>
    <w:rsid w:val="00406552"/>
    <w:rsid w:val="00412770"/>
    <w:rsid w:val="0041305B"/>
    <w:rsid w:val="0041414B"/>
    <w:rsid w:val="00424617"/>
    <w:rsid w:val="0042524C"/>
    <w:rsid w:val="004272A7"/>
    <w:rsid w:val="004272EC"/>
    <w:rsid w:val="00442712"/>
    <w:rsid w:val="00443284"/>
    <w:rsid w:val="00450EA7"/>
    <w:rsid w:val="0045444B"/>
    <w:rsid w:val="00465666"/>
    <w:rsid w:val="00466174"/>
    <w:rsid w:val="00470003"/>
    <w:rsid w:val="004743BD"/>
    <w:rsid w:val="00482C78"/>
    <w:rsid w:val="00485ACE"/>
    <w:rsid w:val="0048625A"/>
    <w:rsid w:val="00492131"/>
    <w:rsid w:val="0049393C"/>
    <w:rsid w:val="00493A62"/>
    <w:rsid w:val="00496064"/>
    <w:rsid w:val="004A0F89"/>
    <w:rsid w:val="004A412F"/>
    <w:rsid w:val="004A68B6"/>
    <w:rsid w:val="004A72DD"/>
    <w:rsid w:val="004B0C40"/>
    <w:rsid w:val="004B2E3A"/>
    <w:rsid w:val="004B7992"/>
    <w:rsid w:val="004C1160"/>
    <w:rsid w:val="004C7085"/>
    <w:rsid w:val="004D4500"/>
    <w:rsid w:val="004D4E80"/>
    <w:rsid w:val="004D543A"/>
    <w:rsid w:val="004D5A3B"/>
    <w:rsid w:val="004D609C"/>
    <w:rsid w:val="004D63F2"/>
    <w:rsid w:val="004D64DD"/>
    <w:rsid w:val="004E5654"/>
    <w:rsid w:val="004F104C"/>
    <w:rsid w:val="004F2765"/>
    <w:rsid w:val="004F519E"/>
    <w:rsid w:val="004F6306"/>
    <w:rsid w:val="004F6E5E"/>
    <w:rsid w:val="005022A7"/>
    <w:rsid w:val="00503E82"/>
    <w:rsid w:val="005040BE"/>
    <w:rsid w:val="00504200"/>
    <w:rsid w:val="005131C5"/>
    <w:rsid w:val="005164F3"/>
    <w:rsid w:val="005259D8"/>
    <w:rsid w:val="005375B3"/>
    <w:rsid w:val="00541AB9"/>
    <w:rsid w:val="005627FC"/>
    <w:rsid w:val="00562D15"/>
    <w:rsid w:val="00570685"/>
    <w:rsid w:val="00570D0D"/>
    <w:rsid w:val="00575AF3"/>
    <w:rsid w:val="005776E3"/>
    <w:rsid w:val="00580818"/>
    <w:rsid w:val="0058287C"/>
    <w:rsid w:val="00583F49"/>
    <w:rsid w:val="005940CF"/>
    <w:rsid w:val="00597279"/>
    <w:rsid w:val="005A113E"/>
    <w:rsid w:val="005B23C5"/>
    <w:rsid w:val="005C089B"/>
    <w:rsid w:val="005C2A52"/>
    <w:rsid w:val="005C6D96"/>
    <w:rsid w:val="005F4599"/>
    <w:rsid w:val="005F70FB"/>
    <w:rsid w:val="006027F7"/>
    <w:rsid w:val="006036EA"/>
    <w:rsid w:val="006104C3"/>
    <w:rsid w:val="00616647"/>
    <w:rsid w:val="00627CBB"/>
    <w:rsid w:val="00634BD1"/>
    <w:rsid w:val="006355DA"/>
    <w:rsid w:val="00646D00"/>
    <w:rsid w:val="00653959"/>
    <w:rsid w:val="006563C8"/>
    <w:rsid w:val="00663AA9"/>
    <w:rsid w:val="0066707C"/>
    <w:rsid w:val="00672825"/>
    <w:rsid w:val="00672EFF"/>
    <w:rsid w:val="0067594B"/>
    <w:rsid w:val="00681B48"/>
    <w:rsid w:val="00682971"/>
    <w:rsid w:val="006908E4"/>
    <w:rsid w:val="006933F5"/>
    <w:rsid w:val="00696392"/>
    <w:rsid w:val="006A2330"/>
    <w:rsid w:val="006A4DB8"/>
    <w:rsid w:val="006A513B"/>
    <w:rsid w:val="006B6021"/>
    <w:rsid w:val="006B7996"/>
    <w:rsid w:val="006C1365"/>
    <w:rsid w:val="006C1EE6"/>
    <w:rsid w:val="006C4A97"/>
    <w:rsid w:val="006D7AF6"/>
    <w:rsid w:val="006E003E"/>
    <w:rsid w:val="006E3537"/>
    <w:rsid w:val="006E36F1"/>
    <w:rsid w:val="006E7E9E"/>
    <w:rsid w:val="006F6D32"/>
    <w:rsid w:val="00700C4E"/>
    <w:rsid w:val="00702DEC"/>
    <w:rsid w:val="007032D6"/>
    <w:rsid w:val="00711A94"/>
    <w:rsid w:val="00712AD4"/>
    <w:rsid w:val="0071514F"/>
    <w:rsid w:val="00721B50"/>
    <w:rsid w:val="007316C6"/>
    <w:rsid w:val="00731F11"/>
    <w:rsid w:val="00732F14"/>
    <w:rsid w:val="0073309E"/>
    <w:rsid w:val="007364C3"/>
    <w:rsid w:val="007367FB"/>
    <w:rsid w:val="0074189C"/>
    <w:rsid w:val="00742914"/>
    <w:rsid w:val="0075674E"/>
    <w:rsid w:val="00764B43"/>
    <w:rsid w:val="0077406E"/>
    <w:rsid w:val="00795D03"/>
    <w:rsid w:val="007B4D0D"/>
    <w:rsid w:val="007C38D5"/>
    <w:rsid w:val="007E085F"/>
    <w:rsid w:val="007E6342"/>
    <w:rsid w:val="007E6768"/>
    <w:rsid w:val="007E7628"/>
    <w:rsid w:val="00805411"/>
    <w:rsid w:val="00821F32"/>
    <w:rsid w:val="008243E3"/>
    <w:rsid w:val="00827065"/>
    <w:rsid w:val="00854152"/>
    <w:rsid w:val="008616F9"/>
    <w:rsid w:val="00861EFB"/>
    <w:rsid w:val="0086307D"/>
    <w:rsid w:val="00870EEA"/>
    <w:rsid w:val="008746C0"/>
    <w:rsid w:val="008776A1"/>
    <w:rsid w:val="00886580"/>
    <w:rsid w:val="008902C6"/>
    <w:rsid w:val="00890CE6"/>
    <w:rsid w:val="0089564C"/>
    <w:rsid w:val="0089642C"/>
    <w:rsid w:val="008A33C1"/>
    <w:rsid w:val="008A3FD8"/>
    <w:rsid w:val="008A4D50"/>
    <w:rsid w:val="008B5ADE"/>
    <w:rsid w:val="008C031E"/>
    <w:rsid w:val="008C5202"/>
    <w:rsid w:val="008D1889"/>
    <w:rsid w:val="008D60A3"/>
    <w:rsid w:val="008E4E86"/>
    <w:rsid w:val="008E6883"/>
    <w:rsid w:val="008F08D6"/>
    <w:rsid w:val="008F2C08"/>
    <w:rsid w:val="008F511A"/>
    <w:rsid w:val="008F559E"/>
    <w:rsid w:val="008F6368"/>
    <w:rsid w:val="008F7372"/>
    <w:rsid w:val="00900E47"/>
    <w:rsid w:val="009010A0"/>
    <w:rsid w:val="0090305E"/>
    <w:rsid w:val="009056D4"/>
    <w:rsid w:val="00907A28"/>
    <w:rsid w:val="00914D69"/>
    <w:rsid w:val="009229DD"/>
    <w:rsid w:val="00922C16"/>
    <w:rsid w:val="009315EA"/>
    <w:rsid w:val="009348B1"/>
    <w:rsid w:val="00940CAE"/>
    <w:rsid w:val="00941FBE"/>
    <w:rsid w:val="00942AD7"/>
    <w:rsid w:val="00943C83"/>
    <w:rsid w:val="00946093"/>
    <w:rsid w:val="009462B7"/>
    <w:rsid w:val="00952963"/>
    <w:rsid w:val="0096522F"/>
    <w:rsid w:val="00976CAA"/>
    <w:rsid w:val="00980ED4"/>
    <w:rsid w:val="00984DBC"/>
    <w:rsid w:val="00995C00"/>
    <w:rsid w:val="009A0EDA"/>
    <w:rsid w:val="009A277F"/>
    <w:rsid w:val="009B2B82"/>
    <w:rsid w:val="009B2F51"/>
    <w:rsid w:val="009B63B8"/>
    <w:rsid w:val="009C1A80"/>
    <w:rsid w:val="009C60A4"/>
    <w:rsid w:val="009D7279"/>
    <w:rsid w:val="009D7F50"/>
    <w:rsid w:val="009E05EA"/>
    <w:rsid w:val="009E3680"/>
    <w:rsid w:val="009E4573"/>
    <w:rsid w:val="009F325C"/>
    <w:rsid w:val="00A00DB1"/>
    <w:rsid w:val="00A0364B"/>
    <w:rsid w:val="00A053BC"/>
    <w:rsid w:val="00A065FF"/>
    <w:rsid w:val="00A22F93"/>
    <w:rsid w:val="00A31B22"/>
    <w:rsid w:val="00A33A15"/>
    <w:rsid w:val="00A34823"/>
    <w:rsid w:val="00A37A56"/>
    <w:rsid w:val="00A43B0D"/>
    <w:rsid w:val="00A44813"/>
    <w:rsid w:val="00A46BED"/>
    <w:rsid w:val="00A578A7"/>
    <w:rsid w:val="00A72734"/>
    <w:rsid w:val="00A74D0E"/>
    <w:rsid w:val="00A7727E"/>
    <w:rsid w:val="00A86782"/>
    <w:rsid w:val="00A87315"/>
    <w:rsid w:val="00A90EE4"/>
    <w:rsid w:val="00AA09D2"/>
    <w:rsid w:val="00AE0117"/>
    <w:rsid w:val="00AE04D9"/>
    <w:rsid w:val="00AF1777"/>
    <w:rsid w:val="00AF2C44"/>
    <w:rsid w:val="00AF5D60"/>
    <w:rsid w:val="00B03A4E"/>
    <w:rsid w:val="00B10A95"/>
    <w:rsid w:val="00B157B7"/>
    <w:rsid w:val="00B23807"/>
    <w:rsid w:val="00B30FD1"/>
    <w:rsid w:val="00B34776"/>
    <w:rsid w:val="00B40261"/>
    <w:rsid w:val="00B46EE2"/>
    <w:rsid w:val="00B50ABB"/>
    <w:rsid w:val="00B67B38"/>
    <w:rsid w:val="00B70A03"/>
    <w:rsid w:val="00B73D99"/>
    <w:rsid w:val="00B740BE"/>
    <w:rsid w:val="00B84DB6"/>
    <w:rsid w:val="00B85345"/>
    <w:rsid w:val="00B853F5"/>
    <w:rsid w:val="00B90FB5"/>
    <w:rsid w:val="00B928AA"/>
    <w:rsid w:val="00B950C2"/>
    <w:rsid w:val="00B9553C"/>
    <w:rsid w:val="00BA08DC"/>
    <w:rsid w:val="00BA2B19"/>
    <w:rsid w:val="00BA4582"/>
    <w:rsid w:val="00BA705F"/>
    <w:rsid w:val="00BB6329"/>
    <w:rsid w:val="00BB70BC"/>
    <w:rsid w:val="00BC3628"/>
    <w:rsid w:val="00BD1D28"/>
    <w:rsid w:val="00BD3F85"/>
    <w:rsid w:val="00BD42C9"/>
    <w:rsid w:val="00BD77F3"/>
    <w:rsid w:val="00BD78DF"/>
    <w:rsid w:val="00BE6C37"/>
    <w:rsid w:val="00BE7381"/>
    <w:rsid w:val="00BE7CC0"/>
    <w:rsid w:val="00C01187"/>
    <w:rsid w:val="00C01F4C"/>
    <w:rsid w:val="00C05B86"/>
    <w:rsid w:val="00C103BE"/>
    <w:rsid w:val="00C1519C"/>
    <w:rsid w:val="00C17CDE"/>
    <w:rsid w:val="00C17DBE"/>
    <w:rsid w:val="00C43D07"/>
    <w:rsid w:val="00C45EF3"/>
    <w:rsid w:val="00C4757E"/>
    <w:rsid w:val="00C51B21"/>
    <w:rsid w:val="00C51E9C"/>
    <w:rsid w:val="00C6043B"/>
    <w:rsid w:val="00C65A54"/>
    <w:rsid w:val="00C70309"/>
    <w:rsid w:val="00C7050E"/>
    <w:rsid w:val="00C80D74"/>
    <w:rsid w:val="00C904C2"/>
    <w:rsid w:val="00C933C5"/>
    <w:rsid w:val="00C9349C"/>
    <w:rsid w:val="00C94E7D"/>
    <w:rsid w:val="00C9699C"/>
    <w:rsid w:val="00C974FE"/>
    <w:rsid w:val="00CA2D86"/>
    <w:rsid w:val="00CA45F9"/>
    <w:rsid w:val="00CA603B"/>
    <w:rsid w:val="00CB0CC3"/>
    <w:rsid w:val="00CC1CE4"/>
    <w:rsid w:val="00CD27D9"/>
    <w:rsid w:val="00CD2DDB"/>
    <w:rsid w:val="00CE77F2"/>
    <w:rsid w:val="00CF62DD"/>
    <w:rsid w:val="00CF662C"/>
    <w:rsid w:val="00D127E8"/>
    <w:rsid w:val="00D1356F"/>
    <w:rsid w:val="00D16B18"/>
    <w:rsid w:val="00D217C9"/>
    <w:rsid w:val="00D21AA1"/>
    <w:rsid w:val="00D23BAA"/>
    <w:rsid w:val="00D31F00"/>
    <w:rsid w:val="00D33C09"/>
    <w:rsid w:val="00D35099"/>
    <w:rsid w:val="00D37FEC"/>
    <w:rsid w:val="00D41150"/>
    <w:rsid w:val="00D523AE"/>
    <w:rsid w:val="00D545D7"/>
    <w:rsid w:val="00D56B51"/>
    <w:rsid w:val="00D56C13"/>
    <w:rsid w:val="00D57C44"/>
    <w:rsid w:val="00D6506F"/>
    <w:rsid w:val="00D679D9"/>
    <w:rsid w:val="00D70F1C"/>
    <w:rsid w:val="00D80C55"/>
    <w:rsid w:val="00D90084"/>
    <w:rsid w:val="00D94F05"/>
    <w:rsid w:val="00D96148"/>
    <w:rsid w:val="00DB37A6"/>
    <w:rsid w:val="00DE3E3D"/>
    <w:rsid w:val="00DF61BD"/>
    <w:rsid w:val="00E006E5"/>
    <w:rsid w:val="00E06800"/>
    <w:rsid w:val="00E10AEA"/>
    <w:rsid w:val="00E13149"/>
    <w:rsid w:val="00E22617"/>
    <w:rsid w:val="00E22DDB"/>
    <w:rsid w:val="00E374EF"/>
    <w:rsid w:val="00E376C3"/>
    <w:rsid w:val="00E44E53"/>
    <w:rsid w:val="00E521E9"/>
    <w:rsid w:val="00E533E7"/>
    <w:rsid w:val="00E55D58"/>
    <w:rsid w:val="00E60A8E"/>
    <w:rsid w:val="00E61483"/>
    <w:rsid w:val="00E63887"/>
    <w:rsid w:val="00E64FFD"/>
    <w:rsid w:val="00E65A8D"/>
    <w:rsid w:val="00E70280"/>
    <w:rsid w:val="00E71D69"/>
    <w:rsid w:val="00E8263D"/>
    <w:rsid w:val="00E8456B"/>
    <w:rsid w:val="00E934F6"/>
    <w:rsid w:val="00E9558F"/>
    <w:rsid w:val="00E96BC1"/>
    <w:rsid w:val="00E9752C"/>
    <w:rsid w:val="00EA0939"/>
    <w:rsid w:val="00EA4715"/>
    <w:rsid w:val="00EA5D4E"/>
    <w:rsid w:val="00EA6DCF"/>
    <w:rsid w:val="00EB1924"/>
    <w:rsid w:val="00EB3170"/>
    <w:rsid w:val="00EB6E53"/>
    <w:rsid w:val="00EB75A8"/>
    <w:rsid w:val="00EC1EDD"/>
    <w:rsid w:val="00EE0BC9"/>
    <w:rsid w:val="00EE0C5E"/>
    <w:rsid w:val="00EE3D45"/>
    <w:rsid w:val="00EE49F9"/>
    <w:rsid w:val="00EF3308"/>
    <w:rsid w:val="00F006BC"/>
    <w:rsid w:val="00F05B90"/>
    <w:rsid w:val="00F05D59"/>
    <w:rsid w:val="00F13498"/>
    <w:rsid w:val="00F139CE"/>
    <w:rsid w:val="00F16451"/>
    <w:rsid w:val="00F2163A"/>
    <w:rsid w:val="00F266DC"/>
    <w:rsid w:val="00F31A95"/>
    <w:rsid w:val="00F3403E"/>
    <w:rsid w:val="00F34CE5"/>
    <w:rsid w:val="00F35583"/>
    <w:rsid w:val="00F511F2"/>
    <w:rsid w:val="00F52477"/>
    <w:rsid w:val="00F632CC"/>
    <w:rsid w:val="00F70131"/>
    <w:rsid w:val="00F800EC"/>
    <w:rsid w:val="00F91B6E"/>
    <w:rsid w:val="00F97E08"/>
    <w:rsid w:val="00FB00D5"/>
    <w:rsid w:val="00FB6C15"/>
    <w:rsid w:val="00FB748B"/>
    <w:rsid w:val="00FC3C5E"/>
    <w:rsid w:val="00FC7C75"/>
    <w:rsid w:val="00FD3242"/>
    <w:rsid w:val="00FD3A15"/>
    <w:rsid w:val="00FD66C9"/>
    <w:rsid w:val="00FD7939"/>
    <w:rsid w:val="00FE0E25"/>
    <w:rsid w:val="00FE66E1"/>
    <w:rsid w:val="00FE7B20"/>
    <w:rsid w:val="00FF0468"/>
    <w:rsid w:val="00FF2FE2"/>
    <w:rsid w:val="00FF3DB6"/>
    <w:rsid w:val="00FF5217"/>
    <w:rsid w:val="00FF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6C0"/>
    <w:pPr>
      <w:ind w:left="720"/>
      <w:contextualSpacing/>
    </w:pPr>
  </w:style>
  <w:style w:type="table" w:styleId="a4">
    <w:name w:val="Table Grid"/>
    <w:basedOn w:val="a1"/>
    <w:uiPriority w:val="39"/>
    <w:rsid w:val="008746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4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6869695762737824E-2"/>
          <c:y val="2.1934982767729518E-2"/>
          <c:w val="0.90758494439167858"/>
          <c:h val="0.7249676108777137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49</c:v>
                </c:pt>
                <c:pt idx="1">
                  <c:v>49</c:v>
                </c:pt>
                <c:pt idx="2">
                  <c:v>49</c:v>
                </c:pt>
                <c:pt idx="3">
                  <c:v>48</c:v>
                </c:pt>
                <c:pt idx="4">
                  <c:v>48</c:v>
                </c:pt>
                <c:pt idx="5">
                  <c:v>49</c:v>
                </c:pt>
                <c:pt idx="6">
                  <c:v>49</c:v>
                </c:pt>
                <c:pt idx="7">
                  <c:v>49</c:v>
                </c:pt>
                <c:pt idx="8">
                  <c:v>50</c:v>
                </c:pt>
                <c:pt idx="9">
                  <c:v>51</c:v>
                </c:pt>
                <c:pt idx="10">
                  <c:v>51</c:v>
                </c:pt>
                <c:pt idx="11">
                  <c:v>51</c:v>
                </c:pt>
                <c:pt idx="12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329E-2"/>
                  <c:y val="4.538232720910265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8145794414280008E-2"/>
                  <c:y val="5.4270982793817417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7174E-2"/>
                  <c:y val="4.538232720910310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54E-2"/>
                  <c:y val="4.807045785943913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5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575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40235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144</c:v>
                </c:pt>
                <c:pt idx="1">
                  <c:v>145</c:v>
                </c:pt>
                <c:pt idx="2">
                  <c:v>145</c:v>
                </c:pt>
                <c:pt idx="3">
                  <c:v>138</c:v>
                </c:pt>
                <c:pt idx="4">
                  <c:v>141</c:v>
                </c:pt>
                <c:pt idx="5">
                  <c:v>141</c:v>
                </c:pt>
                <c:pt idx="6">
                  <c:v>146</c:v>
                </c:pt>
                <c:pt idx="7">
                  <c:v>147</c:v>
                </c:pt>
                <c:pt idx="8">
                  <c:v>149</c:v>
                </c:pt>
                <c:pt idx="9">
                  <c:v>149</c:v>
                </c:pt>
                <c:pt idx="10">
                  <c:v>149</c:v>
                </c:pt>
                <c:pt idx="11">
                  <c:v>152</c:v>
                </c:pt>
                <c:pt idx="12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marker val="1"/>
        <c:axId val="82951552"/>
        <c:axId val="28065792"/>
      </c:lineChart>
      <c:dateAx>
        <c:axId val="82951552"/>
        <c:scaling>
          <c:orientation val="minMax"/>
        </c:scaling>
        <c:axPos val="b"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065792"/>
        <c:crosses val="autoZero"/>
        <c:auto val="1"/>
        <c:lblOffset val="100"/>
        <c:baseTimeUnit val="days"/>
      </c:dateAx>
      <c:valAx>
        <c:axId val="28065792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951552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5179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7501"/>
          <c:w val="0.55312160054071924"/>
          <c:h val="0.556721800307554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BA-447C-BC06-690C0A466B9D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B0BA-447C-BC06-690C0A466B9D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  <c:pt idx="6">
                  <c:v>Добыча полезных ископаемых</c:v>
                </c:pt>
                <c:pt idx="7">
                  <c:v>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70</c:v>
                </c:pt>
                <c:pt idx="1">
                  <c:v>38</c:v>
                </c:pt>
                <c:pt idx="2">
                  <c:v>19</c:v>
                </c:pt>
                <c:pt idx="3">
                  <c:v>9</c:v>
                </c:pt>
                <c:pt idx="4">
                  <c:v>31</c:v>
                </c:pt>
                <c:pt idx="5">
                  <c:v>29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C5075-4267-471A-B7E0-0BDE377E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Ekon2</cp:lastModifiedBy>
  <cp:revision>75</cp:revision>
  <cp:lastPrinted>2025-09-11T12:52:00Z</cp:lastPrinted>
  <dcterms:created xsi:type="dcterms:W3CDTF">2026-02-13T11:51:00Z</dcterms:created>
  <dcterms:modified xsi:type="dcterms:W3CDTF">2026-04-16T06:26:00Z</dcterms:modified>
</cp:coreProperties>
</file>