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феврал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F06CE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61" w:rsidRDefault="00820561" w:rsidP="00820561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A33E54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 по 10.0</w:t>
      </w:r>
      <w:r w:rsidR="00A33E54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F06CE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A33E54" w:rsidRDefault="00A33E54" w:rsidP="00A33E5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A33E54" w:rsidTr="00A33E54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F06CE5" w:rsidP="00F0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A33E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A33E54" w:rsidP="00F06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 w:rsidR="00F06C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E54" w:rsidRDefault="00F06CE5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A33E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33E54" w:rsidRDefault="00A33E5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-3,15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20589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1473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A57346" w:rsidTr="00A33E54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604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-4,88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8E2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-0,76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Новодугинский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183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-3,68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827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-2,71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2649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-2,92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-4,09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-1,04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BF7353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A57346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1770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7A3C27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20479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7A3C2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20589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A57346" w:rsidTr="00A33E54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346" w:rsidRDefault="00A57346" w:rsidP="00A33E5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Default="00A57346" w:rsidP="00A33E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7A3C27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  <w:r w:rsidR="00BF7353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7A3C2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554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A57346" w:rsidTr="00A33E54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346" w:rsidRDefault="00A57346" w:rsidP="00A33E54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F06CE5" w:rsidRDefault="007A3C27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C64156" w:rsidRDefault="00A57346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7A3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346" w:rsidRPr="00205897" w:rsidRDefault="008E2124" w:rsidP="00A33E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</w:tbl>
    <w:p w:rsidR="00A33E54" w:rsidRDefault="00A33E54" w:rsidP="00A33E54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  <w:proofErr w:type="gramEnd"/>
    </w:p>
    <w:p w:rsidR="00A33E54" w:rsidRDefault="00A33E54" w:rsidP="00A33E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2E0B18">
        <w:rPr>
          <w:rFonts w:ascii="Times New Roman" w:hAnsi="Times New Roman" w:cs="Times New Roman"/>
          <w:sz w:val="24"/>
          <w:szCs w:val="24"/>
        </w:rPr>
        <w:t>Новодугински</w:t>
      </w:r>
      <w:r>
        <w:rPr>
          <w:rFonts w:ascii="Times New Roman" w:hAnsi="Times New Roman" w:cs="Times New Roman"/>
          <w:sz w:val="24"/>
          <w:szCs w:val="24"/>
        </w:rPr>
        <w:t xml:space="preserve">й район» Смоленской области с </w:t>
      </w:r>
      <w:r w:rsidR="008E2124">
        <w:rPr>
          <w:rFonts w:ascii="Times New Roman" w:hAnsi="Times New Roman" w:cs="Times New Roman"/>
          <w:sz w:val="24"/>
          <w:szCs w:val="24"/>
        </w:rPr>
        <w:t>февраля 2023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8E2124">
        <w:rPr>
          <w:rFonts w:ascii="Times New Roman" w:hAnsi="Times New Roman" w:cs="Times New Roman"/>
          <w:sz w:val="24"/>
          <w:szCs w:val="24"/>
        </w:rPr>
        <w:t>февраль</w:t>
      </w:r>
      <w:r w:rsidR="002E0B18">
        <w:rPr>
          <w:rFonts w:ascii="Times New Roman" w:hAnsi="Times New Roman" w:cs="Times New Roman"/>
          <w:sz w:val="24"/>
          <w:szCs w:val="24"/>
        </w:rPr>
        <w:t xml:space="preserve"> 202</w:t>
      </w:r>
      <w:r w:rsidR="008E2124">
        <w:rPr>
          <w:rFonts w:ascii="Times New Roman" w:hAnsi="Times New Roman" w:cs="Times New Roman"/>
          <w:sz w:val="24"/>
          <w:szCs w:val="24"/>
        </w:rPr>
        <w:t>4 г.  уменьшилось  на 3,68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2E0B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ед.), что является </w:t>
      </w:r>
      <w:r w:rsidR="008E212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области; средний прирост по всем муниципальным образованиям Смоленской обл</w:t>
      </w:r>
      <w:r w:rsidR="008E2124">
        <w:rPr>
          <w:rFonts w:ascii="Times New Roman" w:hAnsi="Times New Roman" w:cs="Times New Roman"/>
          <w:bCs/>
          <w:sz w:val="24"/>
          <w:szCs w:val="24"/>
        </w:rPr>
        <w:t>асти за этот период составил 0,91</w:t>
      </w:r>
      <w:r>
        <w:rPr>
          <w:rFonts w:ascii="Times New Roman" w:hAnsi="Times New Roman" w:cs="Times New Roman"/>
          <w:bCs/>
          <w:sz w:val="24"/>
          <w:szCs w:val="24"/>
        </w:rPr>
        <w:t>%. За 1 месяц 202</w:t>
      </w:r>
      <w:r w:rsidR="008E212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«</w:t>
      </w:r>
      <w:r w:rsidR="002E0B18">
        <w:rPr>
          <w:rFonts w:ascii="Times New Roman" w:hAnsi="Times New Roman" w:cs="Times New Roman"/>
          <w:sz w:val="24"/>
          <w:szCs w:val="24"/>
        </w:rPr>
        <w:t>Новодугински</w:t>
      </w:r>
      <w:r>
        <w:rPr>
          <w:rFonts w:ascii="Times New Roman" w:hAnsi="Times New Roman" w:cs="Times New Roman"/>
          <w:sz w:val="24"/>
          <w:szCs w:val="24"/>
        </w:rPr>
        <w:t>й район» Смоленской области у</w:t>
      </w:r>
      <w:r w:rsidR="008E2124">
        <w:rPr>
          <w:rFonts w:ascii="Times New Roman" w:hAnsi="Times New Roman" w:cs="Times New Roman"/>
          <w:sz w:val="24"/>
          <w:szCs w:val="24"/>
        </w:rPr>
        <w:t>величи</w:t>
      </w:r>
      <w:r>
        <w:rPr>
          <w:rFonts w:ascii="Times New Roman" w:hAnsi="Times New Roman" w:cs="Times New Roman"/>
          <w:sz w:val="24"/>
          <w:szCs w:val="24"/>
        </w:rPr>
        <w:t xml:space="preserve">лось на </w:t>
      </w:r>
      <w:r w:rsidR="008E2124">
        <w:rPr>
          <w:rFonts w:ascii="Times New Roman" w:hAnsi="Times New Roman" w:cs="Times New Roman"/>
          <w:sz w:val="24"/>
          <w:szCs w:val="24"/>
        </w:rPr>
        <w:t>1</w:t>
      </w:r>
      <w:r w:rsidR="002E0B18">
        <w:rPr>
          <w:rFonts w:ascii="Times New Roman" w:hAnsi="Times New Roman" w:cs="Times New Roman"/>
          <w:sz w:val="24"/>
          <w:szCs w:val="24"/>
        </w:rPr>
        <w:t xml:space="preserve"> ед. (-</w:t>
      </w:r>
      <w:r w:rsidR="008E2124">
        <w:rPr>
          <w:rFonts w:ascii="Times New Roman" w:hAnsi="Times New Roman" w:cs="Times New Roman"/>
          <w:sz w:val="24"/>
          <w:szCs w:val="24"/>
        </w:rPr>
        <w:t>0,55</w:t>
      </w:r>
      <w:r>
        <w:rPr>
          <w:rFonts w:ascii="Times New Roman" w:hAnsi="Times New Roman" w:cs="Times New Roman"/>
          <w:sz w:val="24"/>
          <w:szCs w:val="24"/>
        </w:rPr>
        <w:t xml:space="preserve">%), что   является </w:t>
      </w:r>
      <w:r w:rsidR="008E2124">
        <w:rPr>
          <w:rFonts w:ascii="Times New Roman" w:hAnsi="Times New Roman" w:cs="Times New Roman"/>
          <w:sz w:val="24"/>
          <w:szCs w:val="24"/>
        </w:rPr>
        <w:t>17</w:t>
      </w:r>
      <w:r w:rsidR="00F1024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оказателем среди 27 муниципальных образований Смоленской области</w:t>
      </w:r>
      <w:r w:rsidR="008E2124">
        <w:rPr>
          <w:rFonts w:ascii="Times New Roman" w:hAnsi="Times New Roman" w:cs="Times New Roman"/>
          <w:sz w:val="24"/>
          <w:szCs w:val="24"/>
        </w:rPr>
        <w:t>. За 1</w:t>
      </w:r>
      <w:r>
        <w:rPr>
          <w:rFonts w:ascii="Times New Roman" w:hAnsi="Times New Roman" w:cs="Times New Roman"/>
          <w:sz w:val="24"/>
          <w:szCs w:val="24"/>
        </w:rPr>
        <w:t xml:space="preserve"> месяц 202</w:t>
      </w:r>
      <w:r w:rsidR="008E21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ч</w:t>
      </w:r>
      <w:r w:rsidR="008E2124">
        <w:rPr>
          <w:rFonts w:ascii="Times New Roman" w:hAnsi="Times New Roman" w:cs="Times New Roman"/>
          <w:sz w:val="24"/>
          <w:szCs w:val="24"/>
        </w:rPr>
        <w:t>исло субъектов МСП снизилось в 7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8E2124">
        <w:rPr>
          <w:rFonts w:ascii="Times New Roman" w:hAnsi="Times New Roman" w:cs="Times New Roman"/>
          <w:sz w:val="24"/>
          <w:szCs w:val="24"/>
        </w:rPr>
        <w:t>, увеличилось в 18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>, среднее значение</w:t>
      </w:r>
      <w:r w:rsidR="008E2124">
        <w:rPr>
          <w:rFonts w:ascii="Times New Roman" w:hAnsi="Times New Roman" w:cs="Times New Roman"/>
          <w:sz w:val="24"/>
          <w:szCs w:val="24"/>
        </w:rPr>
        <w:t xml:space="preserve"> роста СМСП составило 0,53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7548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5A73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F33D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754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2537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07635"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07635"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D927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07635"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4855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55" w:rsidRPr="003A1025" w:rsidRDefault="0075485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33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F07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754855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42427B" w:rsidRDefault="00F07635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F07635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07635"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4855" w:rsidRPr="00F07635" w:rsidRDefault="00754855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07635" w:rsidRPr="00F0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2,66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F07635">
        <w:rPr>
          <w:rFonts w:ascii="Times New Roman" w:hAnsi="Times New Roman" w:cs="Times New Roman"/>
          <w:sz w:val="24"/>
          <w:szCs w:val="24"/>
        </w:rPr>
        <w:t>феврал</w:t>
      </w:r>
      <w:r w:rsidR="00C8456D">
        <w:rPr>
          <w:rFonts w:ascii="Times New Roman" w:hAnsi="Times New Roman" w:cs="Times New Roman"/>
          <w:sz w:val="24"/>
          <w:szCs w:val="24"/>
        </w:rPr>
        <w:t>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F07635">
        <w:rPr>
          <w:rFonts w:ascii="Times New Roman" w:hAnsi="Times New Roman" w:cs="Times New Roman"/>
          <w:sz w:val="24"/>
          <w:szCs w:val="24"/>
        </w:rPr>
        <w:t xml:space="preserve"> увеличилось на 1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F07635">
        <w:rPr>
          <w:rFonts w:ascii="Times New Roman" w:hAnsi="Times New Roman" w:cs="Times New Roman"/>
          <w:sz w:val="24"/>
          <w:szCs w:val="24"/>
        </w:rPr>
        <w:t>рост 2,13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</w:t>
      </w:r>
      <w:r w:rsidR="00F07635">
        <w:rPr>
          <w:rFonts w:ascii="Times New Roman" w:hAnsi="Times New Roman" w:cs="Times New Roman"/>
          <w:sz w:val="24"/>
          <w:szCs w:val="24"/>
        </w:rPr>
        <w:t xml:space="preserve"> осталось на одном уровне. 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F07635">
        <w:rPr>
          <w:rFonts w:ascii="Times New Roman" w:hAnsi="Times New Roman" w:cs="Times New Roman"/>
          <w:sz w:val="24"/>
          <w:szCs w:val="24"/>
        </w:rPr>
        <w:t>феврал</w:t>
      </w:r>
      <w:r w:rsidR="00C8456D">
        <w:rPr>
          <w:rFonts w:ascii="Times New Roman" w:hAnsi="Times New Roman" w:cs="Times New Roman"/>
          <w:sz w:val="24"/>
          <w:szCs w:val="24"/>
        </w:rPr>
        <w:t>я 202</w:t>
      </w:r>
      <w:r w:rsidR="00F07635">
        <w:rPr>
          <w:rFonts w:ascii="Times New Roman" w:hAnsi="Times New Roman" w:cs="Times New Roman"/>
          <w:sz w:val="24"/>
          <w:szCs w:val="24"/>
        </w:rPr>
        <w:t>3</w:t>
      </w:r>
      <w:r w:rsidR="00C8456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07635">
        <w:rPr>
          <w:rFonts w:ascii="Times New Roman" w:hAnsi="Times New Roman" w:cs="Times New Roman"/>
          <w:sz w:val="24"/>
          <w:szCs w:val="24"/>
        </w:rPr>
        <w:t>феврал</w:t>
      </w:r>
      <w:r w:rsidR="00EB1719" w:rsidRPr="005046A9">
        <w:rPr>
          <w:rFonts w:ascii="Times New Roman" w:hAnsi="Times New Roman" w:cs="Times New Roman"/>
          <w:sz w:val="24"/>
          <w:szCs w:val="24"/>
        </w:rPr>
        <w:t>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F07635">
        <w:rPr>
          <w:rFonts w:ascii="Times New Roman" w:hAnsi="Times New Roman" w:cs="Times New Roman"/>
          <w:sz w:val="24"/>
          <w:szCs w:val="24"/>
        </w:rPr>
        <w:t>4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>у</w:t>
      </w:r>
      <w:r w:rsidR="00F07635">
        <w:rPr>
          <w:rFonts w:ascii="Times New Roman" w:hAnsi="Times New Roman" w:cs="Times New Roman"/>
          <w:sz w:val="24"/>
          <w:szCs w:val="24"/>
        </w:rPr>
        <w:t>меньшени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F07635">
        <w:rPr>
          <w:rFonts w:ascii="Times New Roman" w:hAnsi="Times New Roman" w:cs="Times New Roman"/>
          <w:sz w:val="24"/>
          <w:szCs w:val="24"/>
        </w:rPr>
        <w:t>2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F07635">
        <w:rPr>
          <w:rFonts w:ascii="Times New Roman" w:hAnsi="Times New Roman" w:cs="Times New Roman"/>
          <w:sz w:val="24"/>
          <w:szCs w:val="24"/>
        </w:rPr>
        <w:t xml:space="preserve">4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F07635">
        <w:rPr>
          <w:rFonts w:ascii="Times New Roman" w:hAnsi="Times New Roman" w:cs="Times New Roman"/>
          <w:sz w:val="24"/>
          <w:szCs w:val="24"/>
        </w:rPr>
        <w:t>3 ед. или на 2,17</w:t>
      </w:r>
      <w:r w:rsidR="00D54D6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E77B9" w:rsidRPr="0042427B" w:rsidRDefault="006E77B9" w:rsidP="006E77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«Новодугинский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5390" cy="3528060"/>
            <wp:effectExtent l="19050" t="0" r="2286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77B9" w:rsidRPr="0042427B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7B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>1 дека</w:t>
      </w:r>
      <w:r w:rsidRPr="005046A9">
        <w:rPr>
          <w:rFonts w:ascii="Times New Roman" w:hAnsi="Times New Roman" w:cs="Times New Roman"/>
          <w:sz w:val="24"/>
          <w:szCs w:val="24"/>
        </w:rPr>
        <w:t xml:space="preserve">бря 2022 по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312E8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увеличения, то в сторону уменьшения на 1-2 единицы. В  силу специфики работы Единого реестра МСП в июне месяце </w:t>
      </w:r>
      <w:r w:rsidR="00B312E8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5046A9">
        <w:rPr>
          <w:rFonts w:ascii="Times New Roman" w:hAnsi="Times New Roman" w:cs="Times New Roman"/>
          <w:sz w:val="24"/>
          <w:szCs w:val="24"/>
        </w:rPr>
        <w:t>отмечено существенное снижение числа   ИП.</w:t>
      </w:r>
    </w:p>
    <w:p w:rsidR="006E77B9" w:rsidRPr="005046A9" w:rsidRDefault="006E77B9" w:rsidP="006E7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9868" w:type="dxa"/>
        <w:tblInd w:w="-5" w:type="dxa"/>
        <w:tblLook w:val="04A0"/>
      </w:tblPr>
      <w:tblGrid>
        <w:gridCol w:w="5642"/>
        <w:gridCol w:w="1116"/>
        <w:gridCol w:w="1116"/>
        <w:gridCol w:w="997"/>
        <w:gridCol w:w="997"/>
      </w:tblGrid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46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DC5E4A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210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D54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7B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7B44C8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7B44C8" w:rsidP="003A7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10046" w:rsidRPr="00B51FDB" w:rsidTr="00810046">
        <w:trPr>
          <w:trHeight w:val="6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10046" w:rsidRPr="00B51FDB" w:rsidTr="00810046">
        <w:trPr>
          <w:trHeight w:val="30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46" w:rsidRPr="00B51FDB" w:rsidRDefault="00810046" w:rsidP="008205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6" w:rsidRPr="00B51FDB" w:rsidRDefault="00810046" w:rsidP="00323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A43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46" w:rsidRPr="00B51FDB" w:rsidRDefault="00810046" w:rsidP="00820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4D63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3,57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A21025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торговля</w:t>
      </w:r>
      <w:r w:rsidR="003A7E24"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прежнем уровне.</w:t>
      </w:r>
    </w:p>
    <w:p w:rsidR="004B7848" w:rsidRPr="00D6552D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транспортировка и хранение;   </w:t>
      </w:r>
      <w:r w:rsidRPr="00D6552D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D6552D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строительство.</w:t>
      </w:r>
    </w:p>
    <w:p w:rsidR="00052701" w:rsidRPr="00D6552D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052701" w:rsidRPr="00D6552D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AB" w:rsidRDefault="00A759AB" w:rsidP="00434DB7">
      <w:pPr>
        <w:spacing w:after="0" w:line="240" w:lineRule="auto"/>
      </w:pPr>
      <w:r>
        <w:separator/>
      </w:r>
    </w:p>
  </w:endnote>
  <w:endnote w:type="continuationSeparator" w:id="0">
    <w:p w:rsidR="00A759AB" w:rsidRDefault="00A759A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AB" w:rsidRDefault="00A759AB" w:rsidP="00434DB7">
      <w:pPr>
        <w:spacing w:after="0" w:line="240" w:lineRule="auto"/>
      </w:pPr>
      <w:r>
        <w:separator/>
      </w:r>
    </w:p>
  </w:footnote>
  <w:footnote w:type="continuationSeparator" w:id="0">
    <w:p w:rsidR="00A759AB" w:rsidRDefault="00A759A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2413"/>
    <w:rsid w:val="00023F9B"/>
    <w:rsid w:val="0002685B"/>
    <w:rsid w:val="000312CC"/>
    <w:rsid w:val="00032A9B"/>
    <w:rsid w:val="0003418E"/>
    <w:rsid w:val="0003636F"/>
    <w:rsid w:val="00037FB6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5B2"/>
    <w:rsid w:val="000B1BF3"/>
    <w:rsid w:val="000B2000"/>
    <w:rsid w:val="000B4BEE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5204A"/>
    <w:rsid w:val="00161617"/>
    <w:rsid w:val="00166B59"/>
    <w:rsid w:val="00166EB9"/>
    <w:rsid w:val="001675F8"/>
    <w:rsid w:val="00170C88"/>
    <w:rsid w:val="0017187A"/>
    <w:rsid w:val="00172271"/>
    <w:rsid w:val="0017484D"/>
    <w:rsid w:val="00181C9E"/>
    <w:rsid w:val="0018254E"/>
    <w:rsid w:val="0018426A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185C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5897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43225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77593"/>
    <w:rsid w:val="00281A49"/>
    <w:rsid w:val="00282FA1"/>
    <w:rsid w:val="002841E0"/>
    <w:rsid w:val="00284AE2"/>
    <w:rsid w:val="002900B5"/>
    <w:rsid w:val="00290278"/>
    <w:rsid w:val="0029104D"/>
    <w:rsid w:val="00293CD4"/>
    <w:rsid w:val="002A07A1"/>
    <w:rsid w:val="002A388A"/>
    <w:rsid w:val="002A405B"/>
    <w:rsid w:val="002B09A2"/>
    <w:rsid w:val="002D0FFA"/>
    <w:rsid w:val="002D59ED"/>
    <w:rsid w:val="002D5AA4"/>
    <w:rsid w:val="002E0B18"/>
    <w:rsid w:val="002E0D1C"/>
    <w:rsid w:val="002E49B0"/>
    <w:rsid w:val="002F25DD"/>
    <w:rsid w:val="002F3AA3"/>
    <w:rsid w:val="002F4320"/>
    <w:rsid w:val="00302B09"/>
    <w:rsid w:val="00306011"/>
    <w:rsid w:val="00306231"/>
    <w:rsid w:val="003155BE"/>
    <w:rsid w:val="0031581B"/>
    <w:rsid w:val="00323660"/>
    <w:rsid w:val="0032457D"/>
    <w:rsid w:val="003247DB"/>
    <w:rsid w:val="00325DA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A7E24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E38ED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68D0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298E"/>
    <w:rsid w:val="0053569D"/>
    <w:rsid w:val="005365EA"/>
    <w:rsid w:val="00540AB4"/>
    <w:rsid w:val="005444A6"/>
    <w:rsid w:val="00545F31"/>
    <w:rsid w:val="0055057A"/>
    <w:rsid w:val="00550CA5"/>
    <w:rsid w:val="005603C3"/>
    <w:rsid w:val="00563F7A"/>
    <w:rsid w:val="005652EF"/>
    <w:rsid w:val="0056714A"/>
    <w:rsid w:val="005675FB"/>
    <w:rsid w:val="005760E6"/>
    <w:rsid w:val="0057613E"/>
    <w:rsid w:val="00576EF7"/>
    <w:rsid w:val="0058024F"/>
    <w:rsid w:val="0058365B"/>
    <w:rsid w:val="005864F0"/>
    <w:rsid w:val="00594D7B"/>
    <w:rsid w:val="00594EB2"/>
    <w:rsid w:val="0059508A"/>
    <w:rsid w:val="005960A6"/>
    <w:rsid w:val="005A0E18"/>
    <w:rsid w:val="005A7385"/>
    <w:rsid w:val="005B0DDC"/>
    <w:rsid w:val="005B1429"/>
    <w:rsid w:val="005B2B9B"/>
    <w:rsid w:val="005B6093"/>
    <w:rsid w:val="005C105B"/>
    <w:rsid w:val="005C1DA1"/>
    <w:rsid w:val="005C3C7B"/>
    <w:rsid w:val="005C4E84"/>
    <w:rsid w:val="005C70C6"/>
    <w:rsid w:val="005D357B"/>
    <w:rsid w:val="005E091B"/>
    <w:rsid w:val="005E303B"/>
    <w:rsid w:val="005E41AC"/>
    <w:rsid w:val="005E48E5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05BD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7B9"/>
    <w:rsid w:val="006F1C24"/>
    <w:rsid w:val="006F536B"/>
    <w:rsid w:val="00700C2B"/>
    <w:rsid w:val="0071410C"/>
    <w:rsid w:val="00714A2F"/>
    <w:rsid w:val="00717C99"/>
    <w:rsid w:val="007271B9"/>
    <w:rsid w:val="00730FB8"/>
    <w:rsid w:val="007324E4"/>
    <w:rsid w:val="00740E49"/>
    <w:rsid w:val="00743D90"/>
    <w:rsid w:val="00753584"/>
    <w:rsid w:val="00754855"/>
    <w:rsid w:val="007637C2"/>
    <w:rsid w:val="00767A09"/>
    <w:rsid w:val="00781A4A"/>
    <w:rsid w:val="007822C7"/>
    <w:rsid w:val="007849C2"/>
    <w:rsid w:val="00785F6D"/>
    <w:rsid w:val="00794F4F"/>
    <w:rsid w:val="007A3C27"/>
    <w:rsid w:val="007A4A63"/>
    <w:rsid w:val="007B44C8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8027E7"/>
    <w:rsid w:val="00803AAD"/>
    <w:rsid w:val="00806183"/>
    <w:rsid w:val="00810046"/>
    <w:rsid w:val="0081507E"/>
    <w:rsid w:val="00820561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124"/>
    <w:rsid w:val="008E2693"/>
    <w:rsid w:val="008E5B13"/>
    <w:rsid w:val="008F4649"/>
    <w:rsid w:val="008F74A7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0169"/>
    <w:rsid w:val="00985D7B"/>
    <w:rsid w:val="00990D86"/>
    <w:rsid w:val="00997748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1025"/>
    <w:rsid w:val="00A2437E"/>
    <w:rsid w:val="00A26486"/>
    <w:rsid w:val="00A30C47"/>
    <w:rsid w:val="00A30E63"/>
    <w:rsid w:val="00A337E9"/>
    <w:rsid w:val="00A33A89"/>
    <w:rsid w:val="00A33E54"/>
    <w:rsid w:val="00A34FE3"/>
    <w:rsid w:val="00A36145"/>
    <w:rsid w:val="00A414EA"/>
    <w:rsid w:val="00A41C51"/>
    <w:rsid w:val="00A43CA1"/>
    <w:rsid w:val="00A43FCC"/>
    <w:rsid w:val="00A45F08"/>
    <w:rsid w:val="00A56C52"/>
    <w:rsid w:val="00A57346"/>
    <w:rsid w:val="00A60BC7"/>
    <w:rsid w:val="00A66755"/>
    <w:rsid w:val="00A674DA"/>
    <w:rsid w:val="00A73BFB"/>
    <w:rsid w:val="00A759A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03F92"/>
    <w:rsid w:val="00B13E80"/>
    <w:rsid w:val="00B245CE"/>
    <w:rsid w:val="00B312E8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7FEF"/>
    <w:rsid w:val="00B911F9"/>
    <w:rsid w:val="00B94D86"/>
    <w:rsid w:val="00B978F8"/>
    <w:rsid w:val="00BA06EA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BF7353"/>
    <w:rsid w:val="00C00055"/>
    <w:rsid w:val="00C0431C"/>
    <w:rsid w:val="00C05FB0"/>
    <w:rsid w:val="00C1113C"/>
    <w:rsid w:val="00C1160F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799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4D63"/>
    <w:rsid w:val="00D563C0"/>
    <w:rsid w:val="00D6330D"/>
    <w:rsid w:val="00D6552D"/>
    <w:rsid w:val="00D66A4F"/>
    <w:rsid w:val="00D73192"/>
    <w:rsid w:val="00D80792"/>
    <w:rsid w:val="00D82D4A"/>
    <w:rsid w:val="00D83D7C"/>
    <w:rsid w:val="00D84E2F"/>
    <w:rsid w:val="00D8596C"/>
    <w:rsid w:val="00D8685C"/>
    <w:rsid w:val="00D91DF1"/>
    <w:rsid w:val="00D92703"/>
    <w:rsid w:val="00DA0308"/>
    <w:rsid w:val="00DA3FAE"/>
    <w:rsid w:val="00DA5EA4"/>
    <w:rsid w:val="00DC1CDF"/>
    <w:rsid w:val="00DC3CE9"/>
    <w:rsid w:val="00DC3F2B"/>
    <w:rsid w:val="00DC5E4A"/>
    <w:rsid w:val="00DE5690"/>
    <w:rsid w:val="00DE640D"/>
    <w:rsid w:val="00DF026F"/>
    <w:rsid w:val="00DF11FD"/>
    <w:rsid w:val="00DF245C"/>
    <w:rsid w:val="00DF3164"/>
    <w:rsid w:val="00E02491"/>
    <w:rsid w:val="00E03DFB"/>
    <w:rsid w:val="00E124A2"/>
    <w:rsid w:val="00E14234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53111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D76BF"/>
    <w:rsid w:val="00EE4244"/>
    <w:rsid w:val="00EE6D9E"/>
    <w:rsid w:val="00EF011A"/>
    <w:rsid w:val="00EF27C8"/>
    <w:rsid w:val="00EF4949"/>
    <w:rsid w:val="00EF571F"/>
    <w:rsid w:val="00EF6E5E"/>
    <w:rsid w:val="00F049F5"/>
    <w:rsid w:val="00F05207"/>
    <w:rsid w:val="00F06CE5"/>
    <w:rsid w:val="00F07635"/>
    <w:rsid w:val="00F1024B"/>
    <w:rsid w:val="00F1047A"/>
    <w:rsid w:val="00F16865"/>
    <w:rsid w:val="00F254FE"/>
    <w:rsid w:val="00F31849"/>
    <w:rsid w:val="00F31A80"/>
    <w:rsid w:val="00F32923"/>
    <w:rsid w:val="00F33D59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4539063923607312E-2"/>
          <c:y val="6.876356978055928E-2"/>
          <c:w val="0.90579872535338046"/>
          <c:h val="0.7378312727107820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 Лица</c:v>
                </c:pt>
              </c:strCache>
            </c:strRef>
          </c:tx>
          <c:dLbls>
            <c:dLbl>
              <c:idx val="0"/>
              <c:layout>
                <c:manualLayout>
                  <c:x val="-1.1499209429351733E-2"/>
                  <c:y val="4.7619047619047707E-2"/>
                </c:manualLayout>
              </c:layout>
              <c:showVal val="1"/>
            </c:dLbl>
            <c:dLbl>
              <c:idx val="1"/>
              <c:layout>
                <c:manualLayout>
                  <c:x val="-5.7496047146758985E-3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061808250682834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1.0061808250682834E-2"/>
                  <c:y val="5.1587301587301723E-2"/>
                </c:manualLayout>
              </c:layout>
              <c:showVal val="1"/>
            </c:dLbl>
            <c:dLbl>
              <c:idx val="5"/>
              <c:layout>
                <c:manualLayout>
                  <c:x val="-8.6244070720138087E-3"/>
                  <c:y val="5.1587301587301723E-2"/>
                </c:manualLayout>
              </c:layout>
              <c:showVal val="1"/>
            </c:dLbl>
            <c:dLbl>
              <c:idx val="6"/>
              <c:layout>
                <c:manualLayout>
                  <c:x val="-8.6244070720138087E-3"/>
                  <c:y val="5.9523809523809597E-2"/>
                </c:manualLayout>
              </c:layout>
              <c:showVal val="1"/>
            </c:dLbl>
            <c:dLbl>
              <c:idx val="7"/>
              <c:layout>
                <c:manualLayout>
                  <c:x val="-1.0061808250682834E-2"/>
                  <c:y val="6.7460317460317651E-2"/>
                </c:manualLayout>
              </c:layout>
              <c:showVal val="1"/>
            </c:dLbl>
            <c:dLbl>
              <c:idx val="8"/>
              <c:layout>
                <c:manualLayout>
                  <c:x val="-8.6244070720138087E-3"/>
                  <c:y val="5.9523809523809507E-2"/>
                </c:manualLayout>
              </c:layout>
              <c:showVal val="1"/>
            </c:dLbl>
            <c:dLbl>
              <c:idx val="9"/>
              <c:layout>
                <c:manualLayout>
                  <c:x val="-1.0061808250682834E-2"/>
                  <c:y val="5.5555555555555455E-2"/>
                </c:manualLayout>
              </c:layout>
              <c:showVal val="1"/>
            </c:dLbl>
            <c:dLbl>
              <c:idx val="10"/>
              <c:layout>
                <c:manualLayout>
                  <c:x val="-8.6244070720138087E-3"/>
                  <c:y val="6.349206349206353E-2"/>
                </c:manualLayout>
              </c:layout>
              <c:showVal val="1"/>
            </c:dLbl>
            <c:dLbl>
              <c:idx val="11"/>
              <c:layout>
                <c:manualLayout>
                  <c:x val="-7.1870058933448545E-3"/>
                  <c:y val="5.9523809523809597E-2"/>
                </c:manualLayout>
              </c:layout>
              <c:showVal val="1"/>
            </c:dLbl>
            <c:dLbl>
              <c:idx val="12"/>
              <c:layout>
                <c:manualLayout>
                  <c:x val="-8.6244070720138087E-3"/>
                  <c:y val="6.3492063492063738E-2"/>
                </c:manualLayout>
              </c:layout>
              <c:showVal val="1"/>
            </c:dLbl>
            <c:dLbl>
              <c:idx val="13"/>
              <c:layout>
                <c:manualLayout>
                  <c:x val="-1.0061808250682723E-2"/>
                  <c:y val="5.9523809523809597E-2"/>
                </c:manualLayout>
              </c:layout>
              <c:showVal val="1"/>
            </c:dLbl>
            <c:showVal val="1"/>
          </c:dLbls>
          <c:cat>
            <c:numRef>
              <c:f>Лист1!$A$2:$A$18</c:f>
              <c:numCache>
                <c:formatCode>dd/mm/yyyy</c:formatCode>
                <c:ptCount val="17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  <c:pt idx="14">
                  <c:v>45261</c:v>
                </c:pt>
                <c:pt idx="15">
                  <c:v>45292</c:v>
                </c:pt>
                <c:pt idx="16">
                  <c:v>45323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46</c:v>
                </c:pt>
                <c:pt idx="4">
                  <c:v>49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50</c:v>
                </c:pt>
                <c:pt idx="9">
                  <c:v>46</c:v>
                </c:pt>
                <c:pt idx="10">
                  <c:v>47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-5.7496047146758985E-3"/>
                  <c:y val="4.7619047619047707E-2"/>
                </c:manualLayout>
              </c:layout>
              <c:showVal val="1"/>
            </c:dLbl>
            <c:dLbl>
              <c:idx val="1"/>
              <c:layout>
                <c:manualLayout>
                  <c:x val="-7.1870058933448545E-3"/>
                  <c:y val="4.7619047619047707E-2"/>
                </c:manualLayout>
              </c:layout>
              <c:showVal val="1"/>
            </c:dLbl>
            <c:dLbl>
              <c:idx val="2"/>
              <c:layout>
                <c:manualLayout>
                  <c:x val="-4.3122035360068965E-3"/>
                  <c:y val="4.7619047619047707E-2"/>
                </c:manualLayout>
              </c:layout>
              <c:showVal val="1"/>
            </c:dLbl>
            <c:dLbl>
              <c:idx val="3"/>
              <c:layout>
                <c:manualLayout>
                  <c:x val="-1.1499209429351733E-2"/>
                  <c:y val="5.9523809523809562E-2"/>
                </c:manualLayout>
              </c:layout>
              <c:showVal val="1"/>
            </c:dLbl>
            <c:dLbl>
              <c:idx val="4"/>
              <c:layout>
                <c:manualLayout>
                  <c:x val="-8.6244070720138087E-3"/>
                  <c:y val="4.3650793650793634E-2"/>
                </c:manualLayout>
              </c:layout>
              <c:showVal val="1"/>
            </c:dLbl>
            <c:dLbl>
              <c:idx val="5"/>
              <c:layout>
                <c:manualLayout>
                  <c:x val="-5.7496047146758985E-3"/>
                  <c:y val="5.1587301587301571E-2"/>
                </c:manualLayout>
              </c:layout>
              <c:showVal val="1"/>
            </c:dLbl>
            <c:dLbl>
              <c:idx val="6"/>
              <c:layout>
                <c:manualLayout>
                  <c:x val="-1.0061808250682834E-2"/>
                  <c:y val="5.1587301587301571E-2"/>
                </c:manualLayout>
              </c:layout>
              <c:showVal val="1"/>
            </c:dLbl>
            <c:dLbl>
              <c:idx val="7"/>
              <c:layout>
                <c:manualLayout>
                  <c:x val="-1.0061808250682834E-2"/>
                  <c:y val="5.1587301587301633E-2"/>
                </c:manualLayout>
              </c:layout>
              <c:showVal val="1"/>
            </c:dLbl>
            <c:dLbl>
              <c:idx val="8"/>
              <c:layout>
                <c:manualLayout>
                  <c:x val="-1.8686215322696563E-2"/>
                  <c:y val="5.5555555555555455E-2"/>
                </c:manualLayout>
              </c:layout>
              <c:showVal val="1"/>
            </c:dLbl>
            <c:dLbl>
              <c:idx val="9"/>
              <c:layout>
                <c:manualLayout>
                  <c:x val="-1.4374011786689666E-2"/>
                  <c:y val="4.7619047619047707E-2"/>
                </c:manualLayout>
              </c:layout>
              <c:showVal val="1"/>
            </c:dLbl>
            <c:dLbl>
              <c:idx val="10"/>
              <c:layout>
                <c:manualLayout>
                  <c:x val="-1.2936610608020699E-2"/>
                  <c:y val="5.1587301587301577E-2"/>
                </c:manualLayout>
              </c:layout>
              <c:showVal val="1"/>
            </c:dLbl>
            <c:dLbl>
              <c:idx val="11"/>
              <c:layout>
                <c:manualLayout>
                  <c:x val="-1.7248814144027652E-2"/>
                  <c:y val="5.9523809523809507E-2"/>
                </c:manualLayout>
              </c:layout>
              <c:showVal val="1"/>
            </c:dLbl>
            <c:dLbl>
              <c:idx val="12"/>
              <c:layout>
                <c:manualLayout>
                  <c:x val="-1.1499209429351733E-2"/>
                  <c:y val="6.349206349206353E-2"/>
                </c:manualLayout>
              </c:layout>
              <c:showVal val="1"/>
            </c:dLbl>
            <c:dLbl>
              <c:idx val="13"/>
              <c:layout>
                <c:manualLayout>
                  <c:x val="-1.0061808250682723E-2"/>
                  <c:y val="5.1587301587301577E-2"/>
                </c:manualLayout>
              </c:layout>
              <c:showVal val="1"/>
            </c:dLbl>
            <c:showVal val="1"/>
          </c:dLbls>
          <c:cat>
            <c:numRef>
              <c:f>Лист1!$A$2:$A$18</c:f>
              <c:numCache>
                <c:formatCode>dd/mm/yyyy</c:formatCode>
                <c:ptCount val="17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  <c:pt idx="14">
                  <c:v>45261</c:v>
                </c:pt>
                <c:pt idx="15">
                  <c:v>45292</c:v>
                </c:pt>
                <c:pt idx="16">
                  <c:v>45323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137</c:v>
                </c:pt>
                <c:pt idx="1">
                  <c:v>139</c:v>
                </c:pt>
                <c:pt idx="2">
                  <c:v>142</c:v>
                </c:pt>
                <c:pt idx="3">
                  <c:v>144</c:v>
                </c:pt>
                <c:pt idx="4">
                  <c:v>142</c:v>
                </c:pt>
                <c:pt idx="5">
                  <c:v>142</c:v>
                </c:pt>
                <c:pt idx="6">
                  <c:v>142</c:v>
                </c:pt>
                <c:pt idx="7">
                  <c:v>144</c:v>
                </c:pt>
                <c:pt idx="8">
                  <c:v>144</c:v>
                </c:pt>
                <c:pt idx="9">
                  <c:v>127</c:v>
                </c:pt>
                <c:pt idx="10">
                  <c:v>129</c:v>
                </c:pt>
                <c:pt idx="11">
                  <c:v>129</c:v>
                </c:pt>
                <c:pt idx="12">
                  <c:v>129</c:v>
                </c:pt>
                <c:pt idx="13">
                  <c:v>130</c:v>
                </c:pt>
                <c:pt idx="14">
                  <c:v>134</c:v>
                </c:pt>
                <c:pt idx="15">
                  <c:v>134</c:v>
                </c:pt>
                <c:pt idx="16">
                  <c:v>135</c:v>
                </c:pt>
              </c:numCache>
            </c:numRef>
          </c:val>
        </c:ser>
        <c:marker val="1"/>
        <c:axId val="100225024"/>
        <c:axId val="100226560"/>
      </c:lineChart>
      <c:dateAx>
        <c:axId val="100225024"/>
        <c:scaling>
          <c:orientation val="minMax"/>
        </c:scaling>
        <c:axPos val="b"/>
        <c:numFmt formatCode="dd/mm/yyyy" sourceLinked="1"/>
        <c:tickLblPos val="nextTo"/>
        <c:crossAx val="100226560"/>
        <c:crosses val="autoZero"/>
        <c:auto val="1"/>
        <c:lblOffset val="100"/>
      </c:dateAx>
      <c:valAx>
        <c:axId val="100226560"/>
        <c:scaling>
          <c:orientation val="minMax"/>
        </c:scaling>
        <c:axPos val="l"/>
        <c:majorGridlines/>
        <c:numFmt formatCode="General" sourceLinked="1"/>
        <c:tickLblPos val="nextTo"/>
        <c:crossAx val="10022502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4008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374"/>
          <c:w val="0.5531216005406806"/>
          <c:h val="0.55672180030751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</c:v>
                </c:pt>
                <c:pt idx="1">
                  <c:v>36</c:v>
                </c:pt>
                <c:pt idx="2">
                  <c:v>5</c:v>
                </c:pt>
                <c:pt idx="3">
                  <c:v>11</c:v>
                </c:pt>
                <c:pt idx="4">
                  <c:v>29</c:v>
                </c:pt>
                <c:pt idx="5">
                  <c:v>30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A7FD-3D07-43A9-BFFF-60BDFF4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54</cp:revision>
  <cp:lastPrinted>2023-11-20T08:14:00Z</cp:lastPrinted>
  <dcterms:created xsi:type="dcterms:W3CDTF">2023-09-20T12:43:00Z</dcterms:created>
  <dcterms:modified xsi:type="dcterms:W3CDTF">2024-02-20T13:02:00Z</dcterms:modified>
</cp:coreProperties>
</file>