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 w:rsidR="00096E3B">
        <w:rPr>
          <w:rFonts w:ascii="Times New Roman" w:hAnsi="Times New Roman" w:cs="Times New Roman"/>
          <w:sz w:val="24"/>
          <w:szCs w:val="24"/>
          <w:u w:val="single"/>
        </w:rPr>
        <w:t>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3B" w:rsidRPr="00D2542A" w:rsidRDefault="00096E3B" w:rsidP="00096E3B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238"/>
        <w:gridCol w:w="1278"/>
        <w:gridCol w:w="1189"/>
        <w:gridCol w:w="1155"/>
        <w:gridCol w:w="1075"/>
        <w:gridCol w:w="1075"/>
        <w:gridCol w:w="997"/>
        <w:gridCol w:w="997"/>
      </w:tblGrid>
      <w:tr w:rsidR="00096E3B" w:rsidRPr="00D2542A" w:rsidTr="00096E3B">
        <w:trPr>
          <w:trHeight w:val="5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17,99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6D237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6369D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8,37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6369D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6D237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096E3B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096E3B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Новодугинский округ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096E3B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96E3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096E3B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96E3B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096E3B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96E3B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096E3B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96E3B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096E3B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96E3B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-1,04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096E3B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96E3B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096E3B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96E3B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4,37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6D237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6D237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C38E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8979D1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9A2F5F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8979D1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9A2F5F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8979D1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9A2F5F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-0,12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AF1777" w:rsidRDefault="00096E3B" w:rsidP="00096E3B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F1777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AF17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AF1777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AF1777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AF1777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AF1777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AF1777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AF1777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AF1777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-0,80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8979D1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9A2F5F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-0,98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8979D1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9A2F5F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-1,04</w:t>
            </w:r>
          </w:p>
        </w:tc>
      </w:tr>
      <w:tr w:rsidR="00096E3B" w:rsidRPr="00D2542A" w:rsidTr="00096E3B">
        <w:trPr>
          <w:trHeight w:val="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8979D1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-2,27</w:t>
            </w:r>
          </w:p>
        </w:tc>
      </w:tr>
      <w:tr w:rsidR="00096E3B" w:rsidRPr="00D2542A" w:rsidTr="00096E3B">
        <w:trPr>
          <w:trHeight w:val="6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E3B" w:rsidRPr="00D2542A" w:rsidRDefault="00096E3B" w:rsidP="00096E3B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E3B" w:rsidRPr="00D2542A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2,92</w:t>
            </w:r>
          </w:p>
        </w:tc>
      </w:tr>
    </w:tbl>
    <w:p w:rsidR="00096E3B" w:rsidRPr="00752B05" w:rsidRDefault="00096E3B" w:rsidP="00096E3B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096E3B" w:rsidRPr="00F65339" w:rsidRDefault="00096E3B" w:rsidP="00096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713B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1713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1713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713B">
        <w:rPr>
          <w:rFonts w:ascii="Times New Roman" w:hAnsi="Times New Roman" w:cs="Times New Roman"/>
          <w:sz w:val="24"/>
          <w:szCs w:val="24"/>
        </w:rPr>
        <w:t xml:space="preserve">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456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2,21</w:t>
      </w:r>
      <w:r w:rsidRPr="0091713B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91713B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248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9,36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Вяземском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3,20</w:t>
      </w:r>
      <w:r w:rsidRPr="00F65339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5-ти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 w:rsidRPr="00783297"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3297">
        <w:rPr>
          <w:rFonts w:ascii="Times New Roman" w:hAnsi="Times New Roman" w:cs="Times New Roman"/>
          <w:sz w:val="24"/>
          <w:szCs w:val="24"/>
        </w:rPr>
        <w:t>0.98</w:t>
      </w:r>
      <w:r w:rsidRPr="00F65339">
        <w:rPr>
          <w:rFonts w:ascii="Times New Roman" w:hAnsi="Times New Roman" w:cs="Times New Roman"/>
          <w:sz w:val="24"/>
          <w:szCs w:val="24"/>
        </w:rPr>
        <w:t>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83297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-2,27%,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– 2 ед. или -1,04%,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- 2 или -0,80%.</w:t>
      </w:r>
      <w:proofErr w:type="gramEnd"/>
    </w:p>
    <w:p w:rsidR="00096E3B" w:rsidRPr="00C32C8F" w:rsidRDefault="00096E3B" w:rsidP="00096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Смоленский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F6533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0,73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г. Смоленске +124 или 0,59%, Вяземский округ +15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0,60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</w:t>
      </w:r>
      <w:r>
        <w:rPr>
          <w:rFonts w:ascii="Times New Roman" w:hAnsi="Times New Roman" w:cs="Times New Roman"/>
          <w:sz w:val="24"/>
          <w:szCs w:val="24"/>
        </w:rPr>
        <w:t>округах</w:t>
      </w:r>
      <w:r w:rsidRPr="00C32C8F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 в </w:t>
      </w:r>
      <w:r>
        <w:rPr>
          <w:rFonts w:ascii="Times New Roman" w:hAnsi="Times New Roman" w:cs="Times New Roman"/>
          <w:sz w:val="24"/>
          <w:szCs w:val="24"/>
        </w:rPr>
        <w:t xml:space="preserve">Гагаринском округе </w:t>
      </w:r>
      <w:r w:rsidRPr="00C32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-0,53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C32C8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-2,06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– 4 ед. или -0,22%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96E3B" w:rsidRPr="00FB23F8" w:rsidRDefault="00096E3B" w:rsidP="00096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0,48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</w:t>
      </w:r>
      <w:r>
        <w:rPr>
          <w:rFonts w:ascii="Times New Roman" w:hAnsi="Times New Roman" w:cs="Times New Roman"/>
          <w:sz w:val="24"/>
          <w:szCs w:val="24"/>
        </w:rPr>
        <w:t xml:space="preserve">120 </w:t>
      </w:r>
      <w:r w:rsidRPr="00E61BC6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2,92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096E3B" w:rsidRPr="006F1B21" w:rsidRDefault="00096E3B" w:rsidP="00096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Новодугинский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F1B21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B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4,37 </w:t>
      </w:r>
      <w:r w:rsidRPr="006F1B21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>
        <w:rPr>
          <w:rFonts w:ascii="Times New Roman" w:hAnsi="Times New Roman" w:cs="Times New Roman"/>
          <w:sz w:val="24"/>
          <w:szCs w:val="24"/>
        </w:rPr>
        <w:t>уменьшилось</w:t>
      </w:r>
      <w:r w:rsidRPr="006F1B2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F1B21">
        <w:rPr>
          <w:rFonts w:ascii="Times New Roman" w:hAnsi="Times New Roman" w:cs="Times New Roman"/>
          <w:sz w:val="24"/>
          <w:szCs w:val="24"/>
        </w:rPr>
        <w:t xml:space="preserve">ед. или </w:t>
      </w:r>
      <w:proofErr w:type="gramStart"/>
      <w:r w:rsidRPr="006F1B21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1,04</w:t>
      </w:r>
      <w:r w:rsidRPr="006F1B2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96E3B" w:rsidRDefault="00096E3B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Pr="00D2542A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96E3B" w:rsidRPr="0002764C" w:rsidTr="00096E3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22E9D" w:rsidRPr="0002764C" w:rsidTr="00096E3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9D" w:rsidRPr="009465B0" w:rsidRDefault="00122E9D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42427B" w:rsidRDefault="00122E9D" w:rsidP="0089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22E9D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9D" w:rsidRPr="009465B0" w:rsidRDefault="00122E9D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422537" w:rsidRDefault="00122E9D" w:rsidP="0089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9,31</w:t>
            </w:r>
          </w:p>
        </w:tc>
      </w:tr>
      <w:tr w:rsidR="00122E9D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9D" w:rsidRPr="009465B0" w:rsidRDefault="00122E9D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422537" w:rsidRDefault="00122E9D" w:rsidP="0089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  <w:tr w:rsidR="00122E9D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9D" w:rsidRPr="009465B0" w:rsidRDefault="00122E9D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422537" w:rsidRDefault="00122E9D" w:rsidP="0089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2E9D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9D" w:rsidRPr="009465B0" w:rsidRDefault="00122E9D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42427B" w:rsidRDefault="00122E9D" w:rsidP="0089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5,93</w:t>
            </w:r>
          </w:p>
        </w:tc>
      </w:tr>
      <w:tr w:rsidR="00122E9D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9D" w:rsidRPr="009465B0" w:rsidRDefault="00122E9D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42427B" w:rsidRDefault="00122E9D" w:rsidP="0089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5,93</w:t>
            </w:r>
          </w:p>
        </w:tc>
      </w:tr>
      <w:tr w:rsidR="00122E9D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9D" w:rsidRPr="009465B0" w:rsidRDefault="00122E9D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42427B" w:rsidRDefault="00122E9D" w:rsidP="0089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E9D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9D" w:rsidRPr="009465B0" w:rsidRDefault="00122E9D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42427B" w:rsidRDefault="00122E9D" w:rsidP="0089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E9D" w:rsidRPr="009465B0" w:rsidRDefault="00EA4715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4,37</w:t>
            </w:r>
          </w:p>
        </w:tc>
      </w:tr>
      <w:tr w:rsidR="00122E9D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E9D" w:rsidRPr="009465B0" w:rsidRDefault="00122E9D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Pr="0042427B" w:rsidRDefault="00122E9D" w:rsidP="00890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E9D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2E9D" w:rsidRDefault="00122E9D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EA5D4E">
        <w:rPr>
          <w:rFonts w:ascii="Times New Roman" w:hAnsi="Times New Roman" w:cs="Times New Roman"/>
          <w:sz w:val="24"/>
          <w:szCs w:val="24"/>
        </w:rPr>
        <w:t>осталось на одном уровне – 48 ед.</w:t>
      </w:r>
      <w:r w:rsidRPr="00B524B9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EA5D4E">
        <w:rPr>
          <w:rFonts w:ascii="Times New Roman" w:hAnsi="Times New Roman" w:cs="Times New Roman"/>
          <w:sz w:val="24"/>
          <w:szCs w:val="24"/>
        </w:rPr>
        <w:t>уменьшило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D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ед. или на 1,</w:t>
      </w:r>
      <w:r w:rsidR="00EA5D4E">
        <w:rPr>
          <w:rFonts w:ascii="Times New Roman" w:hAnsi="Times New Roman" w:cs="Times New Roman"/>
          <w:sz w:val="24"/>
          <w:szCs w:val="24"/>
        </w:rPr>
        <w:t xml:space="preserve">38 </w:t>
      </w:r>
      <w:r w:rsidRPr="00B524B9">
        <w:rPr>
          <w:rFonts w:ascii="Times New Roman" w:hAnsi="Times New Roman" w:cs="Times New Roman"/>
          <w:sz w:val="24"/>
          <w:szCs w:val="24"/>
        </w:rPr>
        <w:t>%.</w:t>
      </w: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10.02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 </w:t>
      </w:r>
      <w:r w:rsidR="00EA5D4E">
        <w:rPr>
          <w:rFonts w:ascii="Times New Roman" w:hAnsi="Times New Roman" w:cs="Times New Roman"/>
          <w:sz w:val="24"/>
          <w:szCs w:val="24"/>
        </w:rPr>
        <w:t xml:space="preserve">не изменилось </w:t>
      </w:r>
      <w:r w:rsidRPr="00B524B9">
        <w:rPr>
          <w:rFonts w:ascii="Times New Roman" w:hAnsi="Times New Roman" w:cs="Times New Roman"/>
          <w:sz w:val="24"/>
          <w:szCs w:val="24"/>
        </w:rPr>
        <w:t xml:space="preserve"> числ</w:t>
      </w:r>
      <w:r w:rsidR="00EA5D4E">
        <w:rPr>
          <w:rFonts w:ascii="Times New Roman" w:hAnsi="Times New Roman" w:cs="Times New Roman"/>
          <w:sz w:val="24"/>
          <w:szCs w:val="24"/>
        </w:rPr>
        <w:t>о</w:t>
      </w:r>
      <w:r w:rsidRPr="00B524B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>(</w:t>
      </w:r>
      <w:r w:rsidR="00EA5D4E">
        <w:rPr>
          <w:rFonts w:ascii="Times New Roman" w:hAnsi="Times New Roman" w:cs="Times New Roman"/>
          <w:sz w:val="24"/>
          <w:szCs w:val="24"/>
        </w:rPr>
        <w:t>48 ед.</w:t>
      </w:r>
      <w:r w:rsidRPr="00B524B9">
        <w:rPr>
          <w:rFonts w:ascii="Times New Roman" w:hAnsi="Times New Roman" w:cs="Times New Roman"/>
          <w:sz w:val="24"/>
          <w:szCs w:val="24"/>
        </w:rPr>
        <w:t>), увеличение числа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(на </w:t>
      </w:r>
      <w:r w:rsidR="00EA5D4E">
        <w:rPr>
          <w:rFonts w:ascii="Times New Roman" w:hAnsi="Times New Roman" w:cs="Times New Roman"/>
          <w:sz w:val="24"/>
          <w:szCs w:val="24"/>
        </w:rPr>
        <w:t>8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EA5D4E">
        <w:rPr>
          <w:rFonts w:ascii="Times New Roman" w:hAnsi="Times New Roman" w:cs="Times New Roman"/>
          <w:sz w:val="24"/>
          <w:szCs w:val="24"/>
        </w:rPr>
        <w:t>5,93</w:t>
      </w:r>
      <w:r w:rsidRPr="00B524B9">
        <w:rPr>
          <w:rFonts w:ascii="Times New Roman" w:hAnsi="Times New Roman" w:cs="Times New Roman"/>
          <w:sz w:val="24"/>
          <w:szCs w:val="24"/>
        </w:rPr>
        <w:t>%).</w:t>
      </w:r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C56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ский </w:t>
      </w:r>
      <w:r w:rsidR="00D30C56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»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4F6E5E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EA6DCF">
        <w:rPr>
          <w:rFonts w:ascii="Times New Roman" w:hAnsi="Times New Roman" w:cs="Times New Roman"/>
          <w:sz w:val="24"/>
          <w:szCs w:val="24"/>
        </w:rPr>
        <w:t>феврал</w:t>
      </w:r>
      <w:r w:rsidRPr="004F6E5E">
        <w:rPr>
          <w:rFonts w:ascii="Times New Roman" w:hAnsi="Times New Roman" w:cs="Times New Roman"/>
          <w:sz w:val="24"/>
          <w:szCs w:val="24"/>
        </w:rPr>
        <w:t>я  202</w:t>
      </w:r>
      <w:r w:rsidR="004B0C40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по 10 </w:t>
      </w:r>
      <w:r w:rsidR="00EA6DCF">
        <w:rPr>
          <w:rFonts w:ascii="Times New Roman" w:hAnsi="Times New Roman" w:cs="Times New Roman"/>
          <w:sz w:val="24"/>
          <w:szCs w:val="24"/>
        </w:rPr>
        <w:t>феврал</w:t>
      </w:r>
      <w:r w:rsidR="004B0C40">
        <w:rPr>
          <w:rFonts w:ascii="Times New Roman" w:hAnsi="Times New Roman" w:cs="Times New Roman"/>
          <w:sz w:val="24"/>
          <w:szCs w:val="24"/>
        </w:rPr>
        <w:t>я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F70131">
        <w:rPr>
          <w:rFonts w:ascii="Times New Roman" w:hAnsi="Times New Roman" w:cs="Times New Roman"/>
          <w:sz w:val="24"/>
          <w:szCs w:val="24"/>
        </w:rPr>
        <w:t>8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4F6E5E">
        <w:rPr>
          <w:rFonts w:ascii="Times New Roman" w:hAnsi="Times New Roman" w:cs="Times New Roman"/>
          <w:sz w:val="24"/>
          <w:szCs w:val="24"/>
        </w:rPr>
        <w:t xml:space="preserve"> </w:t>
      </w:r>
      <w:r w:rsidRPr="004F6E5E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9558F" w:rsidRPr="004F6E5E">
        <w:rPr>
          <w:rFonts w:ascii="Times New Roman" w:hAnsi="Times New Roman" w:cs="Times New Roman"/>
          <w:sz w:val="24"/>
          <w:szCs w:val="24"/>
        </w:rPr>
        <w:t>9</w:t>
      </w:r>
      <w:r w:rsidR="00F70131">
        <w:rPr>
          <w:rFonts w:ascii="Times New Roman" w:hAnsi="Times New Roman" w:cs="Times New Roman"/>
          <w:sz w:val="24"/>
          <w:szCs w:val="24"/>
        </w:rPr>
        <w:t>1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  </w:t>
      </w:r>
      <w:r w:rsidR="00F70131">
        <w:rPr>
          <w:rFonts w:ascii="Times New Roman" w:hAnsi="Times New Roman" w:cs="Times New Roman"/>
          <w:sz w:val="24"/>
          <w:szCs w:val="24"/>
        </w:rPr>
        <w:t>февраля</w:t>
      </w:r>
      <w:r w:rsidRPr="004F6E5E">
        <w:rPr>
          <w:rFonts w:ascii="Times New Roman" w:hAnsi="Times New Roman" w:cs="Times New Roman"/>
          <w:sz w:val="24"/>
          <w:szCs w:val="24"/>
        </w:rPr>
        <w:t xml:space="preserve"> 2024 года по </w:t>
      </w:r>
      <w:r w:rsidR="00F70131">
        <w:rPr>
          <w:rFonts w:ascii="Times New Roman" w:hAnsi="Times New Roman" w:cs="Times New Roman"/>
          <w:sz w:val="24"/>
          <w:szCs w:val="24"/>
        </w:rPr>
        <w:t>февраль</w:t>
      </w:r>
      <w:r w:rsidR="004B0C40">
        <w:rPr>
          <w:rFonts w:ascii="Times New Roman" w:hAnsi="Times New Roman" w:cs="Times New Roman"/>
          <w:sz w:val="24"/>
          <w:szCs w:val="24"/>
        </w:rPr>
        <w:t xml:space="preserve"> 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F70131">
        <w:rPr>
          <w:rFonts w:ascii="Times New Roman" w:hAnsi="Times New Roman" w:cs="Times New Roman"/>
          <w:sz w:val="24"/>
          <w:szCs w:val="24"/>
        </w:rPr>
        <w:t>росло на 8</w:t>
      </w:r>
      <w:r w:rsidRPr="004F6E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9558F" w:rsidRPr="004F6E5E">
        <w:rPr>
          <w:rFonts w:ascii="Times New Roman" w:hAnsi="Times New Roman" w:cs="Times New Roman"/>
          <w:sz w:val="24"/>
          <w:szCs w:val="24"/>
        </w:rPr>
        <w:t>ов</w:t>
      </w:r>
      <w:r w:rsidRPr="004F6E5E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F70131">
        <w:rPr>
          <w:rFonts w:ascii="Times New Roman" w:hAnsi="Times New Roman" w:cs="Times New Roman"/>
          <w:sz w:val="24"/>
          <w:szCs w:val="24"/>
        </w:rPr>
        <w:t>февраля</w:t>
      </w:r>
      <w:r w:rsidR="004B0C40">
        <w:rPr>
          <w:rFonts w:ascii="Times New Roman" w:hAnsi="Times New Roman" w:cs="Times New Roman"/>
          <w:sz w:val="24"/>
          <w:szCs w:val="24"/>
        </w:rPr>
        <w:t xml:space="preserve">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E9558F" w:rsidRPr="004F6E5E">
        <w:rPr>
          <w:rFonts w:ascii="Times New Roman" w:hAnsi="Times New Roman" w:cs="Times New Roman"/>
          <w:sz w:val="24"/>
          <w:szCs w:val="24"/>
        </w:rPr>
        <w:t>4</w:t>
      </w:r>
      <w:r w:rsidR="00F70131">
        <w:rPr>
          <w:rFonts w:ascii="Times New Roman" w:hAnsi="Times New Roman" w:cs="Times New Roman"/>
          <w:sz w:val="24"/>
          <w:szCs w:val="24"/>
        </w:rPr>
        <w:t>3</w:t>
      </w:r>
      <w:r w:rsidRPr="004F6E5E">
        <w:rPr>
          <w:rFonts w:ascii="Times New Roman" w:hAnsi="Times New Roman" w:cs="Times New Roman"/>
          <w:sz w:val="24"/>
          <w:szCs w:val="24"/>
        </w:rPr>
        <w:t>.</w:t>
      </w:r>
    </w:p>
    <w:p w:rsidR="00F70131" w:rsidRDefault="00F70131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юридических лиц МСП по сравнению с 10 февраля 2024 года и 10 января 2025 года не изменилось и составило 48 ед.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BE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муниципальном образовании «Новодугинский </w:t>
      </w:r>
      <w:r w:rsidR="00E246E1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Pr="005040BE">
        <w:rPr>
          <w:rFonts w:ascii="Times New Roman" w:hAnsi="Times New Roman" w:cs="Times New Roman"/>
          <w:b/>
          <w:bCs/>
          <w:sz w:val="20"/>
          <w:szCs w:val="20"/>
        </w:rPr>
        <w:t>» Смоленской области  по видам деятельности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E246E1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муниципальный округ</w:t>
      </w:r>
      <w:r w:rsidR="008D60A3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  <w:r w:rsidR="008D60A3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="008D60A3"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 w:firstRow="1" w:lastRow="0" w:firstColumn="1" w:lastColumn="0" w:noHBand="0" w:noVBand="1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6" w:rsidRDefault="00D30C5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6" w:rsidRDefault="00D30C5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027A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A72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890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02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-2,9</w:t>
            </w:r>
            <w:r w:rsidR="00027A2A"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-4,8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513A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583F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Единого реестра субъектов МСП по отраслям, в которых отмечено увеличение числа занятых субъектов МСП с начала года, стали: строительство (+</w:t>
      </w:r>
      <w:r w:rsidR="00D411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A4D50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на </w:t>
      </w:r>
      <w:r w:rsidR="00D41150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D411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F13498" w:rsidRPr="00CF62DD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22161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513AE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</w:tr>
    </w:tbl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F62D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2DD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10.0</w:t>
      </w:r>
      <w:r w:rsidR="00F13498">
        <w:rPr>
          <w:rFonts w:ascii="Times New Roman" w:eastAsia="Calibri" w:hAnsi="Times New Roman" w:cs="Times New Roman"/>
          <w:sz w:val="24"/>
          <w:szCs w:val="24"/>
        </w:rPr>
        <w:t>2.2024г. было зарегистрировано 19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вновь </w:t>
      </w:r>
      <w:r w:rsidR="000B771E">
        <w:rPr>
          <w:rFonts w:ascii="Times New Roman" w:eastAsia="Calibri" w:hAnsi="Times New Roman" w:cs="Times New Roman"/>
          <w:sz w:val="24"/>
          <w:szCs w:val="24"/>
        </w:rPr>
        <w:t>созданных субъектов МСП, на 10.0</w:t>
      </w:r>
      <w:r w:rsidR="00F13498">
        <w:rPr>
          <w:rFonts w:ascii="Times New Roman" w:eastAsia="Calibri" w:hAnsi="Times New Roman" w:cs="Times New Roman"/>
          <w:sz w:val="24"/>
          <w:szCs w:val="24"/>
        </w:rPr>
        <w:t>2</w:t>
      </w:r>
      <w:r w:rsidRPr="00CF62DD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0B771E">
        <w:rPr>
          <w:rFonts w:ascii="Times New Roman" w:eastAsia="Calibri" w:hAnsi="Times New Roman" w:cs="Times New Roman"/>
          <w:sz w:val="24"/>
          <w:szCs w:val="24"/>
        </w:rPr>
        <w:t>34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+</w:t>
      </w:r>
      <w:r w:rsidR="000B771E">
        <w:rPr>
          <w:rFonts w:ascii="Times New Roman" w:eastAsia="Calibri" w:hAnsi="Times New Roman" w:cs="Times New Roman"/>
          <w:sz w:val="24"/>
          <w:szCs w:val="24"/>
        </w:rPr>
        <w:t>1</w:t>
      </w:r>
      <w:r w:rsidR="00AF1777">
        <w:rPr>
          <w:rFonts w:ascii="Times New Roman" w:eastAsia="Calibri" w:hAnsi="Times New Roman" w:cs="Times New Roman"/>
          <w:sz w:val="24"/>
          <w:szCs w:val="24"/>
        </w:rPr>
        <w:t>5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AF1777">
        <w:rPr>
          <w:rFonts w:ascii="Times New Roman" w:eastAsia="Calibri" w:hAnsi="Times New Roman" w:cs="Times New Roman"/>
          <w:sz w:val="24"/>
          <w:szCs w:val="24"/>
        </w:rPr>
        <w:t>78,9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CF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Значительно изменилась структура вновь созданных субъектов МСП – в прошлом периоде ИП 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з</w:t>
      </w:r>
      <w:r w:rsidR="000B771E">
        <w:rPr>
          <w:rFonts w:ascii="Times New Roman" w:eastAsia="Calibri" w:hAnsi="Times New Roman" w:cs="Times New Roman"/>
          <w:sz w:val="24"/>
          <w:szCs w:val="24"/>
        </w:rPr>
        <w:t>анимали 73,9 %, в текущем – 97,1 % (рост на 23,2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CF62DD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CF62DD" w:rsidRDefault="000B771E" w:rsidP="00A90EE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A90EE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CF62D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CF62DD" w:rsidRDefault="000B771E" w:rsidP="00A90EE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A90EE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CF62DD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F13498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1276" w:type="dxa"/>
            <w:noWrap/>
            <w:vAlign w:val="center"/>
          </w:tcPr>
          <w:p w:rsidR="003A2F01" w:rsidRPr="00A90EE4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F1349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A90EE4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F1349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A90EE4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90EE4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90EE4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90EE4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F1349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31,6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sz w:val="18"/>
                <w:szCs w:val="18"/>
              </w:rPr>
              <w:t>23,5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F13498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sz w:val="18"/>
                <w:szCs w:val="18"/>
              </w:rPr>
              <w:t>33,3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F1349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32,4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F1349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F1349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10,5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F13498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F1349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sz w:val="18"/>
                <w:szCs w:val="18"/>
              </w:rPr>
              <w:t>14,7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F13498" w:rsidP="00C7050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F1349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7F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F13498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В 5 р.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513AE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77F2">
              <w:rPr>
                <w:rFonts w:ascii="Times New Roman" w:hAnsi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F1349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3498">
              <w:rPr>
                <w:rFonts w:ascii="Times New Roman" w:hAnsi="Times New Roman"/>
                <w:b/>
                <w:bCs/>
                <w:sz w:val="18"/>
                <w:szCs w:val="18"/>
              </w:rPr>
              <w:t>78,9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3B24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0EE4">
        <w:rPr>
          <w:rFonts w:ascii="Times New Roman" w:eastAsia="Calibri" w:hAnsi="Times New Roman" w:cs="Times New Roman"/>
          <w:sz w:val="24"/>
          <w:szCs w:val="24"/>
        </w:rPr>
        <w:t>02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CE77F2">
        <w:rPr>
          <w:rFonts w:ascii="Times New Roman" w:eastAsia="Calibri" w:hAnsi="Times New Roman" w:cs="Times New Roman"/>
          <w:sz w:val="24"/>
          <w:szCs w:val="24"/>
        </w:rPr>
        <w:t>0</w:t>
      </w:r>
      <w:r w:rsidR="00A90EE4">
        <w:rPr>
          <w:rFonts w:ascii="Times New Roman" w:eastAsia="Calibri" w:hAnsi="Times New Roman" w:cs="Times New Roman"/>
          <w:sz w:val="24"/>
          <w:szCs w:val="24"/>
        </w:rPr>
        <w:t>2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>
        <w:rPr>
          <w:rFonts w:ascii="Times New Roman" w:eastAsia="Calibri" w:hAnsi="Times New Roman" w:cs="Times New Roman"/>
          <w:sz w:val="24"/>
          <w:szCs w:val="24"/>
        </w:rPr>
        <w:t>5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</w:t>
      </w:r>
      <w:r w:rsidRPr="00173B24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CE77F2">
        <w:rPr>
          <w:rFonts w:ascii="Times New Roman" w:eastAsia="Calibri" w:hAnsi="Times New Roman" w:cs="Times New Roman"/>
          <w:sz w:val="24"/>
          <w:szCs w:val="24"/>
        </w:rPr>
        <w:t>8</w:t>
      </w:r>
      <w:r w:rsidR="00F13498">
        <w:rPr>
          <w:rFonts w:ascii="Times New Roman" w:eastAsia="Calibri" w:hAnsi="Times New Roman" w:cs="Times New Roman"/>
          <w:sz w:val="24"/>
          <w:szCs w:val="24"/>
        </w:rPr>
        <w:t xml:space="preserve"> вместо 6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), торговля (</w:t>
      </w:r>
      <w:r w:rsidR="00CE77F2">
        <w:rPr>
          <w:rFonts w:ascii="Times New Roman" w:eastAsia="Calibri" w:hAnsi="Times New Roman" w:cs="Times New Roman"/>
          <w:sz w:val="24"/>
          <w:szCs w:val="24"/>
        </w:rPr>
        <w:t>11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13498">
        <w:rPr>
          <w:rFonts w:ascii="Times New Roman" w:eastAsia="Calibri" w:hAnsi="Times New Roman" w:cs="Times New Roman"/>
          <w:sz w:val="24"/>
          <w:szCs w:val="24"/>
        </w:rPr>
        <w:t>6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), строительство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(5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13498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</w:t>
      </w:r>
      <w:r w:rsidR="006A513B" w:rsidRPr="00173B24">
        <w:rPr>
          <w:rFonts w:ascii="Times New Roman" w:eastAsia="Calibri" w:hAnsi="Times New Roman" w:cs="Times New Roman"/>
          <w:sz w:val="24"/>
          <w:szCs w:val="24"/>
        </w:rPr>
        <w:t>, п</w:t>
      </w:r>
      <w:r w:rsidR="006A513B" w:rsidRPr="00173B24">
        <w:rPr>
          <w:rFonts w:ascii="Times New Roman" w:hAnsi="Times New Roman"/>
          <w:sz w:val="24"/>
          <w:szCs w:val="24"/>
        </w:rPr>
        <w:t xml:space="preserve">редоставление прочих видов услуг, </w:t>
      </w:r>
      <w:r w:rsidR="006A513B" w:rsidRPr="00173B24">
        <w:rPr>
          <w:rFonts w:ascii="Times New Roman" w:hAnsi="Times New Roman"/>
          <w:sz w:val="24"/>
          <w:szCs w:val="24"/>
        </w:rPr>
        <w:lastRenderedPageBreak/>
        <w:t>деятельность по предоставлению прочих персональных услуг (</w:t>
      </w:r>
      <w:r w:rsidR="00F13498">
        <w:rPr>
          <w:rFonts w:ascii="Times New Roman" w:hAnsi="Times New Roman"/>
          <w:sz w:val="24"/>
          <w:szCs w:val="24"/>
        </w:rPr>
        <w:t>5</w:t>
      </w:r>
      <w:r w:rsidR="006A513B" w:rsidRPr="00173B24">
        <w:rPr>
          <w:rFonts w:ascii="Times New Roman" w:hAnsi="Times New Roman"/>
          <w:sz w:val="24"/>
          <w:szCs w:val="24"/>
        </w:rPr>
        <w:t>)</w:t>
      </w:r>
      <w:r w:rsidR="00F134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в сфере сельского хозяйства (</w:t>
      </w:r>
      <w:r w:rsidR="006A513B" w:rsidRPr="00173B24">
        <w:rPr>
          <w:rFonts w:ascii="Times New Roman" w:eastAsia="Calibri" w:hAnsi="Times New Roman" w:cs="Times New Roman"/>
          <w:sz w:val="24"/>
          <w:szCs w:val="24"/>
        </w:rPr>
        <w:t>3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13498">
        <w:rPr>
          <w:rFonts w:ascii="Times New Roman" w:eastAsia="Calibri" w:hAnsi="Times New Roman" w:cs="Times New Roman"/>
          <w:sz w:val="24"/>
          <w:szCs w:val="24"/>
        </w:rPr>
        <w:t>2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D2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28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FD7939">
        <w:rPr>
          <w:rFonts w:ascii="Times New Roman" w:hAnsi="Times New Roman" w:cs="Times New Roman"/>
          <w:sz w:val="24"/>
          <w:szCs w:val="24"/>
        </w:rPr>
        <w:t>февраля</w:t>
      </w:r>
      <w:r w:rsidRPr="00BD1D28">
        <w:rPr>
          <w:rFonts w:ascii="Times New Roman" w:hAnsi="Times New Roman" w:cs="Times New Roman"/>
          <w:sz w:val="24"/>
          <w:szCs w:val="24"/>
        </w:rPr>
        <w:t xml:space="preserve"> 202</w:t>
      </w:r>
      <w:r w:rsidR="00CE77F2">
        <w:rPr>
          <w:rFonts w:ascii="Times New Roman" w:hAnsi="Times New Roman" w:cs="Times New Roman"/>
          <w:sz w:val="24"/>
          <w:szCs w:val="24"/>
        </w:rPr>
        <w:t>4</w:t>
      </w:r>
      <w:r w:rsidRPr="00BD1D2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D7939">
        <w:rPr>
          <w:rFonts w:ascii="Times New Roman" w:hAnsi="Times New Roman" w:cs="Times New Roman"/>
          <w:sz w:val="24"/>
          <w:szCs w:val="24"/>
        </w:rPr>
        <w:t>февраль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 </w:t>
      </w:r>
      <w:r w:rsidR="00CE77F2">
        <w:rPr>
          <w:rFonts w:ascii="Times New Roman" w:hAnsi="Times New Roman" w:cs="Times New Roman"/>
          <w:sz w:val="24"/>
          <w:szCs w:val="24"/>
        </w:rPr>
        <w:t>2025</w:t>
      </w:r>
      <w:r w:rsidRPr="00BD1D28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</w:t>
      </w:r>
      <w:r w:rsidR="00E246E1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BD1D28">
        <w:rPr>
          <w:rFonts w:ascii="Times New Roman" w:hAnsi="Times New Roman" w:cs="Times New Roman"/>
          <w:sz w:val="24"/>
          <w:szCs w:val="24"/>
        </w:rPr>
        <w:t xml:space="preserve">» Смоленской области, соответствовала тенденциям других муниципальных </w:t>
      </w:r>
      <w:r w:rsidR="00D30C56">
        <w:rPr>
          <w:rFonts w:ascii="Times New Roman" w:hAnsi="Times New Roman" w:cs="Times New Roman"/>
          <w:sz w:val="24"/>
          <w:szCs w:val="24"/>
        </w:rPr>
        <w:t>округов</w:t>
      </w:r>
      <w:r w:rsidRPr="00BD1D28">
        <w:rPr>
          <w:rFonts w:ascii="Times New Roman" w:hAnsi="Times New Roman" w:cs="Times New Roman"/>
          <w:sz w:val="24"/>
          <w:szCs w:val="24"/>
        </w:rPr>
        <w:t xml:space="preserve">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 </w:t>
      </w:r>
      <w:r w:rsidR="00D30C5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BD1D28">
        <w:rPr>
          <w:rFonts w:ascii="Times New Roman" w:hAnsi="Times New Roman" w:cs="Times New Roman"/>
          <w:sz w:val="24"/>
          <w:szCs w:val="24"/>
        </w:rPr>
        <w:t>» Смоленской области,</w:t>
      </w:r>
      <w:r w:rsidR="00CE77F2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BD1D28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6A2330">
        <w:rPr>
          <w:rFonts w:ascii="Times New Roman" w:hAnsi="Times New Roman" w:cs="Times New Roman"/>
          <w:sz w:val="24"/>
          <w:szCs w:val="24"/>
        </w:rPr>
        <w:t>8</w:t>
      </w:r>
      <w:r w:rsidR="00FD7939">
        <w:rPr>
          <w:rFonts w:ascii="Times New Roman" w:hAnsi="Times New Roman" w:cs="Times New Roman"/>
          <w:sz w:val="24"/>
          <w:szCs w:val="24"/>
        </w:rPr>
        <w:t>3</w:t>
      </w:r>
      <w:r w:rsidRPr="00BD1D28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870EEA" w:rsidRPr="00BD1D28">
        <w:rPr>
          <w:rFonts w:ascii="Times New Roman" w:hAnsi="Times New Roman" w:cs="Times New Roman"/>
          <w:sz w:val="24"/>
          <w:szCs w:val="24"/>
        </w:rPr>
        <w:t>9</w:t>
      </w:r>
      <w:r w:rsidR="00FD7939">
        <w:rPr>
          <w:rFonts w:ascii="Times New Roman" w:hAnsi="Times New Roman" w:cs="Times New Roman"/>
          <w:sz w:val="24"/>
          <w:szCs w:val="24"/>
        </w:rPr>
        <w:t>1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FD7939" w:rsidRPr="00314A00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года количество заре</w:t>
      </w:r>
      <w:r w:rsidR="00E96BC1">
        <w:rPr>
          <w:rFonts w:ascii="Times New Roman" w:hAnsi="Times New Roman" w:cs="Times New Roman"/>
          <w:sz w:val="24"/>
          <w:szCs w:val="24"/>
        </w:rPr>
        <w:t xml:space="preserve">гистрированных субъектов МСП в </w:t>
      </w:r>
      <w:proofErr w:type="spellStart"/>
      <w:r w:rsidR="00E96BC1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E96BC1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Pr="00314A0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</w:t>
      </w:r>
      <w:r w:rsidR="00E96BC1">
        <w:rPr>
          <w:rFonts w:ascii="Times New Roman" w:hAnsi="Times New Roman" w:cs="Times New Roman"/>
          <w:sz w:val="24"/>
          <w:szCs w:val="24"/>
        </w:rPr>
        <w:t>ержено и колеблется в пределах 48</w:t>
      </w:r>
      <w:r w:rsidRPr="00314A00">
        <w:rPr>
          <w:rFonts w:ascii="Times New Roman" w:hAnsi="Times New Roman" w:cs="Times New Roman"/>
          <w:sz w:val="24"/>
          <w:szCs w:val="24"/>
        </w:rPr>
        <w:t xml:space="preserve"> юридических лиц и от 1</w:t>
      </w:r>
      <w:r w:rsidR="00E96BC1">
        <w:rPr>
          <w:rFonts w:ascii="Times New Roman" w:hAnsi="Times New Roman" w:cs="Times New Roman"/>
          <w:sz w:val="24"/>
          <w:szCs w:val="24"/>
        </w:rPr>
        <w:t>35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до 1</w:t>
      </w:r>
      <w:r w:rsidR="00E96BC1">
        <w:rPr>
          <w:rFonts w:ascii="Times New Roman" w:hAnsi="Times New Roman" w:cs="Times New Roman"/>
          <w:sz w:val="24"/>
          <w:szCs w:val="24"/>
        </w:rPr>
        <w:t>43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FD7939" w:rsidRPr="00314A00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FD7939" w:rsidRPr="00314A00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FD7939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6BC1">
        <w:rPr>
          <w:rFonts w:ascii="Times New Roman" w:hAnsi="Times New Roman" w:cs="Times New Roman"/>
          <w:sz w:val="24"/>
          <w:szCs w:val="24"/>
        </w:rPr>
        <w:t>1</w:t>
      </w:r>
      <w:r w:rsidRPr="006562A6">
        <w:rPr>
          <w:rFonts w:ascii="Times New Roman" w:hAnsi="Times New Roman" w:cs="Times New Roman"/>
          <w:sz w:val="24"/>
          <w:szCs w:val="24"/>
        </w:rPr>
        <w:t>.202</w:t>
      </w:r>
      <w:r w:rsidR="00E96BC1">
        <w:rPr>
          <w:rFonts w:ascii="Times New Roman" w:hAnsi="Times New Roman" w:cs="Times New Roman"/>
          <w:sz w:val="24"/>
          <w:szCs w:val="24"/>
        </w:rPr>
        <w:t>5</w:t>
      </w:r>
      <w:r w:rsidRPr="006562A6">
        <w:rPr>
          <w:rFonts w:ascii="Times New Roman" w:hAnsi="Times New Roman" w:cs="Times New Roman"/>
          <w:sz w:val="24"/>
          <w:szCs w:val="24"/>
        </w:rPr>
        <w:t xml:space="preserve"> по 10.</w:t>
      </w:r>
      <w:r>
        <w:rPr>
          <w:rFonts w:ascii="Times New Roman" w:hAnsi="Times New Roman" w:cs="Times New Roman"/>
          <w:sz w:val="24"/>
          <w:szCs w:val="24"/>
        </w:rPr>
        <w:t>02.</w:t>
      </w:r>
      <w:r w:rsidRPr="006562A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62A6">
        <w:rPr>
          <w:rFonts w:ascii="Times New Roman" w:hAnsi="Times New Roman" w:cs="Times New Roman"/>
          <w:sz w:val="24"/>
          <w:szCs w:val="24"/>
        </w:rPr>
        <w:t xml:space="preserve"> в Едином реестре </w:t>
      </w:r>
      <w:r w:rsidR="00EB3170">
        <w:rPr>
          <w:rFonts w:ascii="Times New Roman" w:hAnsi="Times New Roman" w:cs="Times New Roman"/>
          <w:sz w:val="24"/>
          <w:szCs w:val="24"/>
        </w:rPr>
        <w:t xml:space="preserve">зарегистрированы вновь открытые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B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2A6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562A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ей:</w:t>
      </w:r>
    </w:p>
    <w:p w:rsidR="00E96BC1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сфере </w:t>
      </w:r>
      <w:r w:rsidR="00E96BC1">
        <w:rPr>
          <w:rFonts w:ascii="Times New Roman" w:hAnsi="Times New Roman" w:cs="Times New Roman"/>
          <w:sz w:val="24"/>
          <w:szCs w:val="24"/>
        </w:rPr>
        <w:t xml:space="preserve">производства электромонтажных работ (43.21) - 1 - Румянцев Дмитрий Алексеевич ИНН 67110087336, </w:t>
      </w:r>
    </w:p>
    <w:p w:rsidR="00E96BC1" w:rsidRDefault="00E96BC1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сфере розничной торговли по почте (47.91) – 1 – Смирнов Николай Николаевич ИНН 671101136184. </w:t>
      </w:r>
    </w:p>
    <w:p w:rsidR="00E96BC1" w:rsidRDefault="00E96BC1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реестра СМСП 4 чел.</w:t>
      </w:r>
    </w:p>
    <w:p w:rsidR="00FD7939" w:rsidRPr="006562A6" w:rsidRDefault="00E96BC1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п</w:t>
      </w:r>
      <w:r w:rsidR="00FD7939" w:rsidRPr="006562A6">
        <w:rPr>
          <w:rFonts w:ascii="Times New Roman" w:hAnsi="Times New Roman" w:cs="Times New Roman"/>
          <w:sz w:val="24"/>
          <w:szCs w:val="24"/>
        </w:rPr>
        <w:t xml:space="preserve">рекратили деятельность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D7939">
        <w:rPr>
          <w:rFonts w:ascii="Times New Roman" w:hAnsi="Times New Roman" w:cs="Times New Roman"/>
          <w:sz w:val="24"/>
          <w:szCs w:val="24"/>
        </w:rPr>
        <w:t xml:space="preserve"> </w:t>
      </w:r>
      <w:r w:rsidR="00FD7939" w:rsidRPr="006562A6">
        <w:rPr>
          <w:rFonts w:ascii="Times New Roman" w:hAnsi="Times New Roman" w:cs="Times New Roman"/>
          <w:sz w:val="24"/>
          <w:szCs w:val="24"/>
        </w:rPr>
        <w:t>субъек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FD7939" w:rsidRPr="006562A6">
        <w:rPr>
          <w:rFonts w:ascii="Times New Roman" w:hAnsi="Times New Roman" w:cs="Times New Roman"/>
          <w:sz w:val="24"/>
          <w:szCs w:val="24"/>
        </w:rPr>
        <w:t xml:space="preserve"> МСП (ИП)</w:t>
      </w:r>
      <w:r w:rsidR="00FD7939">
        <w:rPr>
          <w:rFonts w:ascii="Times New Roman" w:hAnsi="Times New Roman" w:cs="Times New Roman"/>
          <w:sz w:val="24"/>
          <w:szCs w:val="24"/>
        </w:rPr>
        <w:t xml:space="preserve"> по следующим видам деятельности</w:t>
      </w:r>
      <w:r w:rsidR="00FD7939" w:rsidRPr="006562A6">
        <w:rPr>
          <w:rFonts w:ascii="Times New Roman" w:hAnsi="Times New Roman" w:cs="Times New Roman"/>
          <w:sz w:val="24"/>
          <w:szCs w:val="24"/>
        </w:rPr>
        <w:t>:</w:t>
      </w:r>
    </w:p>
    <w:p w:rsidR="00FD7939" w:rsidRPr="006562A6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-</w:t>
      </w:r>
      <w:r w:rsidR="00E96BC1">
        <w:rPr>
          <w:rFonts w:ascii="Times New Roman" w:hAnsi="Times New Roman" w:cs="Times New Roman"/>
          <w:sz w:val="24"/>
          <w:szCs w:val="24"/>
        </w:rPr>
        <w:t xml:space="preserve"> техобслуживание и ремонт транспортных средств </w:t>
      </w:r>
      <w:r w:rsidRPr="006562A6">
        <w:rPr>
          <w:rFonts w:ascii="Times New Roman" w:hAnsi="Times New Roman" w:cs="Times New Roman"/>
          <w:sz w:val="24"/>
          <w:szCs w:val="24"/>
        </w:rPr>
        <w:t xml:space="preserve"> – 1</w:t>
      </w:r>
      <w:r w:rsidR="00E96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6BC1">
        <w:rPr>
          <w:rFonts w:ascii="Times New Roman" w:hAnsi="Times New Roman" w:cs="Times New Roman"/>
          <w:sz w:val="24"/>
          <w:szCs w:val="24"/>
        </w:rPr>
        <w:t>Крищук</w:t>
      </w:r>
      <w:proofErr w:type="spellEnd"/>
      <w:r w:rsidR="00E96BC1">
        <w:rPr>
          <w:rFonts w:ascii="Times New Roman" w:hAnsi="Times New Roman" w:cs="Times New Roman"/>
          <w:sz w:val="24"/>
          <w:szCs w:val="24"/>
        </w:rPr>
        <w:t xml:space="preserve"> Виталий Дмитриевич, ИНН 671101213449)</w:t>
      </w:r>
      <w:r w:rsidRPr="006562A6">
        <w:rPr>
          <w:rFonts w:ascii="Times New Roman" w:hAnsi="Times New Roman" w:cs="Times New Roman"/>
          <w:sz w:val="24"/>
          <w:szCs w:val="24"/>
        </w:rPr>
        <w:t>,</w:t>
      </w:r>
    </w:p>
    <w:p w:rsidR="00E96BC1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- торговля  розничная</w:t>
      </w:r>
      <w:r w:rsidR="00E96BC1">
        <w:rPr>
          <w:rFonts w:ascii="Times New Roman" w:hAnsi="Times New Roman" w:cs="Times New Roman"/>
          <w:sz w:val="24"/>
          <w:szCs w:val="24"/>
        </w:rPr>
        <w:t xml:space="preserve"> по почте – 1 (</w:t>
      </w:r>
      <w:proofErr w:type="spellStart"/>
      <w:r w:rsidR="00E96BC1">
        <w:rPr>
          <w:rFonts w:ascii="Times New Roman" w:hAnsi="Times New Roman" w:cs="Times New Roman"/>
          <w:sz w:val="24"/>
          <w:szCs w:val="24"/>
        </w:rPr>
        <w:t>Холматова</w:t>
      </w:r>
      <w:proofErr w:type="spellEnd"/>
      <w:r w:rsidR="00E96BC1">
        <w:rPr>
          <w:rFonts w:ascii="Times New Roman" w:hAnsi="Times New Roman" w:cs="Times New Roman"/>
          <w:sz w:val="24"/>
          <w:szCs w:val="24"/>
        </w:rPr>
        <w:t xml:space="preserve"> Х.С. ИНН 744729998212).</w:t>
      </w:r>
    </w:p>
    <w:p w:rsidR="00E96BC1" w:rsidRDefault="00E96BC1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индивидуальных предпринимателя не прекращали деятельность, но выбыли из реестра СМСП: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Александров Роман Сергеевич, ИНН 671100088604 (62.01.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Разработка программного обеспечения);</w:t>
      </w:r>
      <w:proofErr w:type="gramEnd"/>
    </w:p>
    <w:p w:rsidR="00E96BC1" w:rsidRDefault="00AA09D2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Мусаев А.И. ИНН 671100895630 (47.91 Торговля розничная по почте). </w:t>
      </w:r>
    </w:p>
    <w:p w:rsidR="00FD7939" w:rsidRPr="006562A6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3689" w:rsidRDefault="00F05B90" w:rsidP="00F05B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01" w:rsidRPr="00D6552D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3A2F01" w:rsidRPr="00D6552D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6C0"/>
    <w:rsid w:val="000011E8"/>
    <w:rsid w:val="00027A2A"/>
    <w:rsid w:val="00052C77"/>
    <w:rsid w:val="0005790B"/>
    <w:rsid w:val="00066BAC"/>
    <w:rsid w:val="000707D5"/>
    <w:rsid w:val="00071772"/>
    <w:rsid w:val="000861A4"/>
    <w:rsid w:val="00096E3B"/>
    <w:rsid w:val="000B771E"/>
    <w:rsid w:val="000C2E34"/>
    <w:rsid w:val="000D6BF8"/>
    <w:rsid w:val="000E69F5"/>
    <w:rsid w:val="000F3007"/>
    <w:rsid w:val="00106066"/>
    <w:rsid w:val="001072F5"/>
    <w:rsid w:val="00122E9D"/>
    <w:rsid w:val="00125976"/>
    <w:rsid w:val="001302C2"/>
    <w:rsid w:val="00173B24"/>
    <w:rsid w:val="00180CFC"/>
    <w:rsid w:val="001A3E9E"/>
    <w:rsid w:val="001B2083"/>
    <w:rsid w:val="001B2F7D"/>
    <w:rsid w:val="001B44AB"/>
    <w:rsid w:val="001B6EDF"/>
    <w:rsid w:val="001B7BC4"/>
    <w:rsid w:val="001D70E6"/>
    <w:rsid w:val="00201A8D"/>
    <w:rsid w:val="00221619"/>
    <w:rsid w:val="00235923"/>
    <w:rsid w:val="00243591"/>
    <w:rsid w:val="0028348D"/>
    <w:rsid w:val="00295EE6"/>
    <w:rsid w:val="002B2B7D"/>
    <w:rsid w:val="002B6F6F"/>
    <w:rsid w:val="002D4326"/>
    <w:rsid w:val="003152AF"/>
    <w:rsid w:val="003174FB"/>
    <w:rsid w:val="003227E3"/>
    <w:rsid w:val="00333689"/>
    <w:rsid w:val="0034285B"/>
    <w:rsid w:val="003620DF"/>
    <w:rsid w:val="003721B6"/>
    <w:rsid w:val="00382F90"/>
    <w:rsid w:val="00397DE2"/>
    <w:rsid w:val="003A2F01"/>
    <w:rsid w:val="003A613D"/>
    <w:rsid w:val="003B5FE4"/>
    <w:rsid w:val="003D1B78"/>
    <w:rsid w:val="003D5E86"/>
    <w:rsid w:val="003D5F58"/>
    <w:rsid w:val="003F779F"/>
    <w:rsid w:val="00404EF5"/>
    <w:rsid w:val="0041414B"/>
    <w:rsid w:val="00424617"/>
    <w:rsid w:val="004272A7"/>
    <w:rsid w:val="004272EC"/>
    <w:rsid w:val="00442712"/>
    <w:rsid w:val="00443284"/>
    <w:rsid w:val="00466174"/>
    <w:rsid w:val="00492131"/>
    <w:rsid w:val="004A0F89"/>
    <w:rsid w:val="004A72DD"/>
    <w:rsid w:val="004B0C40"/>
    <w:rsid w:val="004C1160"/>
    <w:rsid w:val="004D4500"/>
    <w:rsid w:val="004D4E80"/>
    <w:rsid w:val="004E5654"/>
    <w:rsid w:val="004F519E"/>
    <w:rsid w:val="004F6306"/>
    <w:rsid w:val="004F6E5E"/>
    <w:rsid w:val="005040BE"/>
    <w:rsid w:val="00504200"/>
    <w:rsid w:val="005131C5"/>
    <w:rsid w:val="005164F3"/>
    <w:rsid w:val="005375B3"/>
    <w:rsid w:val="00580818"/>
    <w:rsid w:val="0058287C"/>
    <w:rsid w:val="00583F49"/>
    <w:rsid w:val="005F4599"/>
    <w:rsid w:val="005F70FB"/>
    <w:rsid w:val="00634BD1"/>
    <w:rsid w:val="00663AA9"/>
    <w:rsid w:val="0066707C"/>
    <w:rsid w:val="00672825"/>
    <w:rsid w:val="00681B48"/>
    <w:rsid w:val="006A2330"/>
    <w:rsid w:val="006A4DB8"/>
    <w:rsid w:val="006A513B"/>
    <w:rsid w:val="006C4A97"/>
    <w:rsid w:val="006D7AF6"/>
    <w:rsid w:val="006E003E"/>
    <w:rsid w:val="00702DEC"/>
    <w:rsid w:val="00721B50"/>
    <w:rsid w:val="007316C6"/>
    <w:rsid w:val="007364C3"/>
    <w:rsid w:val="007367FB"/>
    <w:rsid w:val="00742914"/>
    <w:rsid w:val="00764B43"/>
    <w:rsid w:val="007B4D0D"/>
    <w:rsid w:val="008243E3"/>
    <w:rsid w:val="00870EEA"/>
    <w:rsid w:val="008746C0"/>
    <w:rsid w:val="008776A1"/>
    <w:rsid w:val="008902C6"/>
    <w:rsid w:val="008A33C1"/>
    <w:rsid w:val="008A4D50"/>
    <w:rsid w:val="008D60A3"/>
    <w:rsid w:val="008F2C08"/>
    <w:rsid w:val="008F559E"/>
    <w:rsid w:val="00900E47"/>
    <w:rsid w:val="009056D4"/>
    <w:rsid w:val="00907A28"/>
    <w:rsid w:val="00922C16"/>
    <w:rsid w:val="00941FBE"/>
    <w:rsid w:val="00946093"/>
    <w:rsid w:val="00952963"/>
    <w:rsid w:val="0096522F"/>
    <w:rsid w:val="009B2F51"/>
    <w:rsid w:val="009B63B8"/>
    <w:rsid w:val="009C60A4"/>
    <w:rsid w:val="009D7279"/>
    <w:rsid w:val="00A053BC"/>
    <w:rsid w:val="00A33A15"/>
    <w:rsid w:val="00A43B0D"/>
    <w:rsid w:val="00A72734"/>
    <w:rsid w:val="00A90EE4"/>
    <w:rsid w:val="00AA09D2"/>
    <w:rsid w:val="00AE04D9"/>
    <w:rsid w:val="00AF1777"/>
    <w:rsid w:val="00B50ABB"/>
    <w:rsid w:val="00B9553C"/>
    <w:rsid w:val="00BA705F"/>
    <w:rsid w:val="00BC3628"/>
    <w:rsid w:val="00BD1D28"/>
    <w:rsid w:val="00BD42C9"/>
    <w:rsid w:val="00C43D07"/>
    <w:rsid w:val="00C4757E"/>
    <w:rsid w:val="00C51B21"/>
    <w:rsid w:val="00C65A54"/>
    <w:rsid w:val="00C7050E"/>
    <w:rsid w:val="00C9349C"/>
    <w:rsid w:val="00C94E7D"/>
    <w:rsid w:val="00C9699C"/>
    <w:rsid w:val="00C974FE"/>
    <w:rsid w:val="00CB0CC3"/>
    <w:rsid w:val="00CC1CE4"/>
    <w:rsid w:val="00CE77F2"/>
    <w:rsid w:val="00CF62DD"/>
    <w:rsid w:val="00D30C56"/>
    <w:rsid w:val="00D41150"/>
    <w:rsid w:val="00D545D7"/>
    <w:rsid w:val="00D56B51"/>
    <w:rsid w:val="00D56C13"/>
    <w:rsid w:val="00D94F05"/>
    <w:rsid w:val="00DB37A6"/>
    <w:rsid w:val="00DE3E3D"/>
    <w:rsid w:val="00E22617"/>
    <w:rsid w:val="00E246E1"/>
    <w:rsid w:val="00E64FFD"/>
    <w:rsid w:val="00E9558F"/>
    <w:rsid w:val="00E96BC1"/>
    <w:rsid w:val="00EA4715"/>
    <w:rsid w:val="00EA5D4E"/>
    <w:rsid w:val="00EA6DCF"/>
    <w:rsid w:val="00EB1924"/>
    <w:rsid w:val="00EB3170"/>
    <w:rsid w:val="00EE0C5E"/>
    <w:rsid w:val="00F05B90"/>
    <w:rsid w:val="00F05D59"/>
    <w:rsid w:val="00F13498"/>
    <w:rsid w:val="00F2163A"/>
    <w:rsid w:val="00F31A95"/>
    <w:rsid w:val="00F511F2"/>
    <w:rsid w:val="00F52477"/>
    <w:rsid w:val="00F70131"/>
    <w:rsid w:val="00FD7939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369168270918614E-2"/>
          <c:y val="5.1921047301929465E-2"/>
          <c:w val="0.90688430482200832"/>
          <c:h val="0.661069718236332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</c:v>
                </c:pt>
                <c:pt idx="1">
                  <c:v>48</c:v>
                </c:pt>
                <c:pt idx="2">
                  <c:v>49</c:v>
                </c:pt>
                <c:pt idx="3">
                  <c:v>50</c:v>
                </c:pt>
                <c:pt idx="4">
                  <c:v>50</c:v>
                </c:pt>
                <c:pt idx="5">
                  <c:v>49</c:v>
                </c:pt>
                <c:pt idx="6">
                  <c:v>50</c:v>
                </c:pt>
                <c:pt idx="7">
                  <c:v>50</c:v>
                </c:pt>
                <c:pt idx="8">
                  <c:v>49</c:v>
                </c:pt>
                <c:pt idx="9">
                  <c:v>49</c:v>
                </c:pt>
                <c:pt idx="10">
                  <c:v>48</c:v>
                </c:pt>
                <c:pt idx="11">
                  <c:v>48</c:v>
                </c:pt>
                <c:pt idx="12">
                  <c:v>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2013E-2"/>
                  <c:y val="4.5382327209100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9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86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12E-2"/>
                  <c:y val="4.83452901720618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9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088E-2"/>
                  <c:y val="4.5382327209100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297E-2"/>
                  <c:y val="4.807045785943683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35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374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73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135</c:v>
                </c:pt>
                <c:pt idx="1">
                  <c:v>136</c:v>
                </c:pt>
                <c:pt idx="2">
                  <c:v>139</c:v>
                </c:pt>
                <c:pt idx="3">
                  <c:v>142</c:v>
                </c:pt>
                <c:pt idx="4">
                  <c:v>140</c:v>
                </c:pt>
                <c:pt idx="5">
                  <c:v>134</c:v>
                </c:pt>
                <c:pt idx="6">
                  <c:v>135</c:v>
                </c:pt>
                <c:pt idx="7">
                  <c:v>139</c:v>
                </c:pt>
                <c:pt idx="8">
                  <c:v>144</c:v>
                </c:pt>
                <c:pt idx="9">
                  <c:v>146</c:v>
                </c:pt>
                <c:pt idx="10">
                  <c:v>147</c:v>
                </c:pt>
                <c:pt idx="11">
                  <c:v>145</c:v>
                </c:pt>
                <c:pt idx="12">
                  <c:v>143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784960"/>
        <c:axId val="141497408"/>
      </c:lineChart>
      <c:dateAx>
        <c:axId val="19178496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497408"/>
        <c:crosses val="autoZero"/>
        <c:auto val="1"/>
        <c:lblOffset val="100"/>
        <c:baseTimeUnit val="days"/>
      </c:dateAx>
      <c:valAx>
        <c:axId val="1414974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78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64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968"/>
          <c:w val="0.55312160054070025"/>
          <c:h val="0.556721800307534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</c:v>
                </c:pt>
                <c:pt idx="1">
                  <c:v>36</c:v>
                </c:pt>
                <c:pt idx="2">
                  <c:v>23</c:v>
                </c:pt>
                <c:pt idx="3">
                  <c:v>11</c:v>
                </c:pt>
                <c:pt idx="4">
                  <c:v>30</c:v>
                </c:pt>
                <c:pt idx="5">
                  <c:v>20</c:v>
                </c:pt>
                <c:pt idx="6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6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Pc9</cp:lastModifiedBy>
  <cp:revision>54</cp:revision>
  <cp:lastPrinted>2024-12-13T07:26:00Z</cp:lastPrinted>
  <dcterms:created xsi:type="dcterms:W3CDTF">2024-10-14T12:29:00Z</dcterms:created>
  <dcterms:modified xsi:type="dcterms:W3CDTF">2025-02-14T06:56:00Z</dcterms:modified>
</cp:coreProperties>
</file>