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7B" w:rsidRDefault="000D7D7B" w:rsidP="00E20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УТВЕРЖДЕН</w:t>
      </w:r>
    </w:p>
    <w:p w:rsidR="000D7D7B" w:rsidRDefault="000D7D7B" w:rsidP="00E20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распоряжением Администрации</w:t>
      </w:r>
    </w:p>
    <w:p w:rsidR="000D7D7B" w:rsidRDefault="000D7D7B" w:rsidP="00E20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13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D7D7B" w:rsidRDefault="000D7D7B" w:rsidP="00E20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«Новодугинский район»</w:t>
      </w:r>
      <w:r w:rsidRPr="00713624">
        <w:rPr>
          <w:rFonts w:ascii="Times New Roman" w:hAnsi="Times New Roman"/>
          <w:sz w:val="24"/>
          <w:szCs w:val="24"/>
        </w:rPr>
        <w:t xml:space="preserve"> </w:t>
      </w:r>
    </w:p>
    <w:p w:rsidR="000D7D7B" w:rsidRDefault="000D7D7B" w:rsidP="00E20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Смоленской области</w:t>
      </w:r>
    </w:p>
    <w:p w:rsidR="000D7D7B" w:rsidRDefault="000D7D7B" w:rsidP="00E20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от_</w:t>
      </w:r>
      <w:r w:rsidR="007D6B24">
        <w:rPr>
          <w:rFonts w:ascii="Times New Roman" w:hAnsi="Times New Roman"/>
          <w:sz w:val="24"/>
          <w:szCs w:val="24"/>
          <w:u w:val="single"/>
        </w:rPr>
        <w:t>30.12.2014</w:t>
      </w:r>
      <w:r>
        <w:rPr>
          <w:rFonts w:ascii="Times New Roman" w:hAnsi="Times New Roman"/>
          <w:sz w:val="24"/>
          <w:szCs w:val="24"/>
        </w:rPr>
        <w:t>_№_</w:t>
      </w:r>
      <w:r w:rsidR="007D6B24">
        <w:rPr>
          <w:rFonts w:ascii="Times New Roman" w:hAnsi="Times New Roman"/>
          <w:sz w:val="24"/>
          <w:szCs w:val="24"/>
          <w:u w:val="single"/>
        </w:rPr>
        <w:t>977-р</w:t>
      </w:r>
      <w:r>
        <w:rPr>
          <w:rFonts w:ascii="Times New Roman" w:hAnsi="Times New Roman"/>
          <w:sz w:val="24"/>
          <w:szCs w:val="24"/>
        </w:rPr>
        <w:t>_</w:t>
      </w:r>
    </w:p>
    <w:p w:rsidR="000D7D7B" w:rsidRPr="00913E77" w:rsidRDefault="000D7D7B" w:rsidP="00E20C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69" w:type="pct"/>
        <w:tblCellMar>
          <w:left w:w="0" w:type="dxa"/>
          <w:right w:w="0" w:type="dxa"/>
        </w:tblCellMar>
        <w:tblLook w:val="04A0"/>
      </w:tblPr>
      <w:tblGrid>
        <w:gridCol w:w="10574"/>
      </w:tblGrid>
      <w:tr w:rsidR="000D7D7B" w:rsidRPr="002C4F27" w:rsidTr="004D3A5A">
        <w:trPr>
          <w:trHeight w:val="92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0D7D7B" w:rsidRPr="00E8581F" w:rsidRDefault="000D7D7B" w:rsidP="00E20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</w:pPr>
            <w:r w:rsidRPr="00E8581F"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  <w:t xml:space="preserve">ПЛАН </w:t>
            </w:r>
          </w:p>
          <w:p w:rsidR="000D7D7B" w:rsidRPr="00E8581F" w:rsidRDefault="000D7D7B" w:rsidP="00E20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</w:pPr>
            <w:r w:rsidRPr="00E8581F"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  <w:t>МЕРОПРИЯТИЙ ПО ПРОТИВОДЕЙСТВИЮ КОРРУПЦИИ В МУНИЦИПАЛЬНОМ ОБРАЗОВАНИИ «НОВОДУГИНСКИЙ РАЙОН» СМОЛЕНСКОЙ ОБЛАСТИ</w:t>
            </w:r>
          </w:p>
          <w:p w:rsidR="000D7D7B" w:rsidRDefault="000D7D7B" w:rsidP="00E20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</w:pPr>
            <w:r w:rsidRPr="00E8581F"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  <w:t>5</w:t>
            </w:r>
            <w:r w:rsidRPr="00E8581F"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  <w:t>- 201</w:t>
            </w:r>
            <w:r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  <w:t>7</w:t>
            </w:r>
            <w:r w:rsidRPr="00E8581F"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  <w:t xml:space="preserve"> ГОДЫ </w:t>
            </w:r>
          </w:p>
          <w:p w:rsidR="00E20CFC" w:rsidRPr="00E8581F" w:rsidRDefault="00E20CFC" w:rsidP="00E20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00"/>
              <w:gridCol w:w="4903"/>
              <w:gridCol w:w="1678"/>
              <w:gridCol w:w="2952"/>
            </w:tblGrid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D7B" w:rsidRPr="00A549D0" w:rsidRDefault="000D7D7B" w:rsidP="00E20C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 w:rsidRPr="00A549D0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549D0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A549D0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549D0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D7B" w:rsidRPr="00A549D0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  <w:r w:rsidRPr="00A549D0">
                    <w:rPr>
                      <w:rFonts w:ascii="Times New Roman" w:eastAsia="Times New Roman" w:hAnsi="Times New Roman"/>
                      <w:b/>
                      <w:kern w:val="36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D7B" w:rsidRPr="00A549D0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 w:rsidRPr="00A549D0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 xml:space="preserve">Срок 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D7B" w:rsidRPr="00A549D0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 w:rsidRPr="00A549D0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 xml:space="preserve">Исполнители 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A549D0" w:rsidRDefault="000D7D7B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 w:rsidRPr="00A549D0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A549D0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color w:val="808080"/>
                      <w:kern w:val="36"/>
                      <w:sz w:val="24"/>
                      <w:szCs w:val="24"/>
                      <w:lang w:eastAsia="ru-RU"/>
                    </w:rPr>
                  </w:pPr>
                  <w:r w:rsidRPr="00A549D0">
                    <w:rPr>
                      <w:rFonts w:ascii="Times New Roman" w:eastAsia="Times New Roman" w:hAnsi="Times New Roman"/>
                      <w:b/>
                      <w:kern w:val="36"/>
                      <w:sz w:val="24"/>
                      <w:szCs w:val="24"/>
                      <w:lang w:eastAsia="ru-RU"/>
                    </w:rPr>
                    <w:t>2</w:t>
                  </w:r>
                  <w:r w:rsidRPr="00A549D0">
                    <w:rPr>
                      <w:rFonts w:ascii="Times New Roman" w:eastAsia="Times New Roman" w:hAnsi="Times New Roman"/>
                      <w:b/>
                      <w:color w:val="808080"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A549D0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 w:rsidRPr="00A549D0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A549D0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 w:rsidRPr="00A549D0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37C7" w:rsidRPr="008837C7" w:rsidRDefault="000D7D7B" w:rsidP="008837C7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37C7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Антикоррупционная</w:t>
                  </w:r>
                  <w:proofErr w:type="spellEnd"/>
                  <w:r w:rsidRPr="008837C7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 xml:space="preserve"> политика и экспертиза нормативных правовых актов</w:t>
                  </w:r>
                </w:p>
                <w:p w:rsidR="000D7D7B" w:rsidRPr="008837C7" w:rsidRDefault="000D7D7B" w:rsidP="008837C7">
                  <w:pPr>
                    <w:pStyle w:val="a3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 w:rsidRPr="008837C7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и их проектов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8837C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C93C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Организация проверки соблюдения связанных с муниципальной службой ограничений и запретов, установленных Феде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ральным законом от 02.03.2007</w:t>
                  </w:r>
                  <w:r w:rsidR="00C93CC2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№ 25-ФЗ «О муниципальной службе в Российской Федерации» и другими федеральными законами.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IV квартал</w:t>
                  </w:r>
                </w:p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17E0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Ответственный за работу по профилактике коррупционных и иных правонарушений, </w:t>
                  </w:r>
                  <w:r w:rsidR="00417E0E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, юридический отдел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8837C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Реализация практики кадровой работы органов местного самоуправления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МО «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Новодугинский район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Смоленской области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 при его поощрении.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Постоянно, отчет 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417E0E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8837C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.3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Предъявление в установленном порядке квалификационных требований к гражданам, претендующим на замещение должностей муниципальной службы.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Постоянно, отчет 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417E0E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8837C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.4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C93C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рального закона от 25.12.2008 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№ 273-ФЗ «О противодействии коррупции».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 отдельному плану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417E0E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8837C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.5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 xml:space="preserve">регламента организации проверки этих сведений и порядка регистрации уведомлений.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>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417E0E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8837C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.6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C93C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Организация предоставл</w:t>
                  </w:r>
                  <w:r w:rsidR="00C93CC2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ения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муниципальным</w:t>
                  </w:r>
                  <w:r w:rsidR="00C93CC2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и служащими сведений о доходах, расходах, 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об имуществе </w:t>
                  </w:r>
                  <w:r w:rsidR="00C93CC2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и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обязательствах имущественного характера.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C93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II квартал 201</w:t>
                  </w:r>
                  <w:r w:rsidR="00C93CC2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5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0D7D7B" w:rsidRDefault="000D7D7B" w:rsidP="00C93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II квартал 201</w:t>
                  </w:r>
                  <w:r w:rsidR="00C93CC2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6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0D7D7B" w:rsidRPr="00E8581F" w:rsidRDefault="000D7D7B" w:rsidP="00C93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II квартал 201</w:t>
                  </w:r>
                  <w:r w:rsidR="00C93CC2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7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417E0E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8837C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</w:t>
                  </w:r>
                  <w:r w:rsidR="000D7D7B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Постоянно, отчет 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417E0E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8837C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</w:t>
                  </w:r>
                  <w:r w:rsidR="000D7D7B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Ежемесячное предоставление информации о нарушении сроков рассмотрения и исполнения обращений граждан структурными подразделениями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МО «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Новодугинский район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Смоленской области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к 25 числу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Специалист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 делопроизводству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8837C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</w:t>
                  </w:r>
                  <w:r w:rsidR="000D7D7B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Организация деятельности Комиссии по урегулированию конфликта интересов.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Секретарь Комиссии 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8837C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.1</w:t>
                  </w:r>
                  <w:r w:rsidR="000D7D7B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proofErr w:type="spellStart"/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антикоррупционной</w:t>
                  </w:r>
                  <w:proofErr w:type="spellEnd"/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экспертизы муниципальных правовых актов и их проектов.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Юридический отдел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7D7B" w:rsidRPr="002C4F27" w:rsidTr="00C93CC2">
              <w:trPr>
                <w:trHeight w:val="1129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8837C7" w:rsidP="00C93C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.1</w:t>
                  </w:r>
                  <w:r w:rsidR="000D7D7B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Организация проверки достоверности представляемых гражданином персональных данных и иных сведений при поступлении на муниципальную службу.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C93C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417E0E" w:rsidP="00C93C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0D7D7B" w:rsidRPr="002C4F27" w:rsidTr="008837C7">
              <w:trPr>
                <w:trHeight w:val="355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8837C7" w:rsidP="008837C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1</w:t>
                  </w:r>
                  <w:r w:rsidR="000D7D7B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.12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C93C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Проведение регулярной работы по разъяснению исполнения требований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антикоррупционного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законодательства муниципальным служащим, увольняющимся с муниципальной службы, чьи должности входят в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перечень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на которые распространяются обязанности о предоставлении сведений о доходах</w:t>
                  </w:r>
                  <w:r w:rsidR="00C93CC2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и расходах, а также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об ограничениях при последующем трудоустройстве.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417E0E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Аппарат Главы АМО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A549D0" w:rsidRDefault="00C93CC2" w:rsidP="00296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2</w:t>
                  </w:r>
                  <w:r w:rsidR="000D7D7B" w:rsidRPr="00A549D0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. Мониторинг должностных правонарушений, проявлений коррупции</w:t>
                  </w:r>
                </w:p>
                <w:p w:rsidR="000D7D7B" w:rsidRPr="00E8581F" w:rsidRDefault="000D7D7B" w:rsidP="00296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A549D0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и мер противодействия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C93CC2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2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Проведение обзора публикаций средств массовой информации (СМИ) с отбором и анализом печатных публикаций о фактах, имеющих признаки проявления коррупции в МО «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Новодугинский район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Смоленской области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Юридический отдел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C93CC2" w:rsidP="00296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2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</w:t>
                  </w:r>
                  <w:r w:rsidR="00296F0B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Юридический отдел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C93CC2" w:rsidP="00296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2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</w:t>
                  </w:r>
                  <w:r w:rsidR="00296F0B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Обеспечение работы телефона доверия для 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 xml:space="preserve">приема сообщений о коррупционных проявлениях.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Ответственный за работу по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>профилактике коррупционных и иных правонарушений, системный администратор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C93CC2" w:rsidP="00296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  <w:r w:rsidR="00296F0B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.4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Анализ обращений граждан и юридических лиц, содержащих информацию о коррупционных проявлениях.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Специалист по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делопроизводству, юридический отдел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A549D0" w:rsidRDefault="00296F0B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3</w:t>
                  </w:r>
                  <w:r w:rsidR="000D7D7B" w:rsidRPr="00A549D0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0D7D7B" w:rsidRPr="00A549D0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Антикоррупционные</w:t>
                  </w:r>
                  <w:proofErr w:type="spellEnd"/>
                  <w:r w:rsidR="000D7D7B" w:rsidRPr="00A549D0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 xml:space="preserve"> просвещение и пропаганда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296F0B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3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Обеспечение возможности обращения граждан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на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официальн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ый 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сайт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МО «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Новодугинский район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Смоленской области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об известных фактах коррупции.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Ответственный за работу по профилактике коррупционных и иных правонарушений, системный администратор</w:t>
                  </w:r>
                </w:p>
              </w:tc>
            </w:tr>
            <w:tr w:rsidR="000D7D7B" w:rsidRPr="002C4F27" w:rsidTr="008837C7">
              <w:trPr>
                <w:trHeight w:val="8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296F0B" w:rsidP="00296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3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Содействие общественным организациям и движениям в проведении мероприятий, направленных на формирование негативного отношения к коррупционным проявлениям и повышение правовой культуры.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Ответственный за работу по профилактике коррупционных и иных правонарушений; отдел по культуре и спорту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296F0B" w:rsidP="00296F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3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Информационное сопровождение проведения мероприятий по противодействию коррупции в муниципальном образовании «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Новодугинский район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Смоленской области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Руководители структурных подразделений Администрации МО «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Новодугинский район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Смоленской области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C1763E" w:rsidRDefault="00296F0B" w:rsidP="00296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4</w:t>
                  </w:r>
                  <w:r w:rsidR="000D7D7B" w:rsidRPr="00C1763E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. Мероприятия по обеспечению доступности и прозрачности в деятельности</w:t>
                  </w:r>
                </w:p>
                <w:p w:rsidR="000D7D7B" w:rsidRPr="00E8581F" w:rsidRDefault="000D7D7B" w:rsidP="00296F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C1763E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органов местного самоуправления и предотвращению должностных нарушений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296F0B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4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Развитие информационно-телекоммуникационной инфраструктуры органов местного самоуправления МО «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Новодугинский район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Смоленской области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в целях совершенствования системы оказания муниципальных услуг.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296F0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296F0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Заместитель Главы Администрации – </w:t>
                  </w:r>
                  <w:r w:rsidR="00296F0B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начальник юридического отдела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296F0B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4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296F0B" w:rsidP="00296F0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Корректировка принятых, а также разработка и принятие новых 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административных регламентов предоставления муниципальных услуг.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296F0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Руководители структурных подразделений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МО «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Новодугинский район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Смоленской области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C1763E" w:rsidRDefault="00296F0B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5</w:t>
                  </w:r>
                  <w:r w:rsidR="000D7D7B" w:rsidRPr="00C1763E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. Взаимодействие органов местного самоуправления с общественностью</w:t>
                  </w:r>
                </w:p>
              </w:tc>
            </w:tr>
            <w:tr w:rsidR="000D7D7B" w:rsidRPr="002C4F27" w:rsidTr="008837C7">
              <w:trPr>
                <w:trHeight w:val="128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296F0B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5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Обеспечение размещения в СМИ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нормативных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правовых актов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МО «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Новодугинский район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Смоленской области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Руководители структурных подразделений АМО «Новодугинский район» Смоленской области</w:t>
                  </w:r>
                </w:p>
              </w:tc>
            </w:tr>
            <w:tr w:rsidR="000D7D7B" w:rsidRPr="002C4F27" w:rsidTr="008837C7">
              <w:trPr>
                <w:trHeight w:val="72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296F0B" w:rsidP="008837C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5</w:t>
                  </w:r>
                  <w:r w:rsidR="000D7D7B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62061E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Обеспечение размеще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ния на официальном </w:t>
                  </w:r>
                  <w:r w:rsidRPr="0062061E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интернет-сайте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62061E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информации об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антикоррупционной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деятельности, </w:t>
                  </w:r>
                  <w:r w:rsidRPr="0062061E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создани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е и ведение специализированного раздела, посвященного вопросам </w:t>
                  </w:r>
                  <w:r w:rsidRPr="0062061E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противодействия коррупции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4B0AE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Ответственный за работу по профилактике коррупционных и иных правонарушений, юридический отдел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C1763E" w:rsidRDefault="00296F0B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6</w:t>
                  </w:r>
                  <w:r w:rsidR="000D7D7B" w:rsidRPr="00C1763E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 xml:space="preserve">. Мероприятия по обеспечению эффективного расходования средств бюджета </w:t>
                  </w:r>
                  <w:r w:rsidR="000D7D7B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А</w:t>
                  </w:r>
                  <w:r w:rsidR="000D7D7B" w:rsidRPr="00C1763E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МО «</w:t>
                  </w:r>
                  <w:r w:rsidR="000D7D7B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Новодугинский район</w:t>
                  </w:r>
                  <w:r w:rsidR="000D7D7B" w:rsidRPr="00C1763E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»</w:t>
                  </w:r>
                  <w:r w:rsidR="000D7D7B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 xml:space="preserve"> Смоленской области</w:t>
                  </w:r>
                  <w:r w:rsidR="000D7D7B" w:rsidRPr="00C1763E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, гласности и прозрачности при размещении муниципального заказа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12070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6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120707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color w:val="052635"/>
                      <w:lang w:eastAsia="ru-RU"/>
                    </w:rPr>
                  </w:pPr>
                  <w:r w:rsidRPr="00296F0B">
                    <w:rPr>
                      <w:rFonts w:ascii="Times New Roman" w:eastAsia="Times New Roman" w:hAnsi="Times New Roman" w:cs="Times New Roman"/>
                      <w:b w:val="0"/>
                      <w:color w:val="052635"/>
                      <w:lang w:eastAsia="ru-RU"/>
                    </w:rPr>
                    <w:t xml:space="preserve">Обеспечение выполнения требований, установленных Федеральным законом от </w:t>
                  </w:r>
                  <w:r w:rsidR="00296F0B" w:rsidRPr="00296F0B">
                    <w:rPr>
                      <w:rFonts w:ascii="Times New Roman" w:eastAsia="Times New Roman" w:hAnsi="Times New Roman" w:cs="Times New Roman"/>
                      <w:b w:val="0"/>
                      <w:color w:val="052635"/>
                      <w:lang w:eastAsia="ru-RU"/>
                    </w:rPr>
                    <w:lastRenderedPageBreak/>
                    <w:t>05</w:t>
                  </w:r>
                  <w:r w:rsidRPr="00296F0B">
                    <w:rPr>
                      <w:rFonts w:ascii="Times New Roman" w:eastAsia="Times New Roman" w:hAnsi="Times New Roman" w:cs="Times New Roman"/>
                      <w:b w:val="0"/>
                      <w:color w:val="052635"/>
                      <w:lang w:eastAsia="ru-RU"/>
                    </w:rPr>
                    <w:t>.0</w:t>
                  </w:r>
                  <w:r w:rsidR="00296F0B" w:rsidRPr="00296F0B">
                    <w:rPr>
                      <w:rFonts w:ascii="Times New Roman" w:eastAsia="Times New Roman" w:hAnsi="Times New Roman" w:cs="Times New Roman"/>
                      <w:b w:val="0"/>
                      <w:color w:val="052635"/>
                      <w:lang w:eastAsia="ru-RU"/>
                    </w:rPr>
                    <w:t>4</w:t>
                  </w:r>
                  <w:r w:rsidRPr="00296F0B">
                    <w:rPr>
                      <w:rFonts w:ascii="Times New Roman" w:eastAsia="Times New Roman" w:hAnsi="Times New Roman" w:cs="Times New Roman"/>
                      <w:b w:val="0"/>
                      <w:color w:val="052635"/>
                      <w:lang w:eastAsia="ru-RU"/>
                    </w:rPr>
                    <w:t>.20</w:t>
                  </w:r>
                  <w:r w:rsidR="00296F0B" w:rsidRPr="00296F0B">
                    <w:rPr>
                      <w:rFonts w:ascii="Times New Roman" w:eastAsia="Times New Roman" w:hAnsi="Times New Roman" w:cs="Times New Roman"/>
                      <w:b w:val="0"/>
                      <w:color w:val="052635"/>
                      <w:lang w:eastAsia="ru-RU"/>
                    </w:rPr>
                    <w:t xml:space="preserve">13 </w:t>
                  </w:r>
                  <w:r w:rsidRPr="00296F0B">
                    <w:rPr>
                      <w:rFonts w:ascii="Times New Roman" w:eastAsia="Times New Roman" w:hAnsi="Times New Roman" w:cs="Times New Roman"/>
                      <w:b w:val="0"/>
                      <w:color w:val="052635"/>
                      <w:lang w:eastAsia="ru-RU"/>
                    </w:rPr>
                    <w:t>№</w:t>
                  </w:r>
                  <w:r w:rsidR="00296F0B" w:rsidRPr="00296F0B">
                    <w:rPr>
                      <w:rFonts w:ascii="Times New Roman" w:eastAsia="Times New Roman" w:hAnsi="Times New Roman" w:cs="Times New Roman"/>
                      <w:b w:val="0"/>
                      <w:color w:val="052635"/>
                      <w:lang w:eastAsia="ru-RU"/>
                    </w:rPr>
                    <w:t>4</w:t>
                  </w:r>
                  <w:r w:rsidRPr="00296F0B">
                    <w:rPr>
                      <w:rFonts w:ascii="Times New Roman" w:eastAsia="Times New Roman" w:hAnsi="Times New Roman" w:cs="Times New Roman"/>
                      <w:b w:val="0"/>
                      <w:color w:val="052635"/>
                      <w:lang w:eastAsia="ru-RU"/>
                    </w:rPr>
                    <w:t>4-ФЗ «</w:t>
                  </w:r>
                  <w:r w:rsidR="00296F0B" w:rsidRPr="00296F0B">
                    <w:rPr>
                      <w:rFonts w:ascii="Times New Roman" w:hAnsi="Times New Roman" w:cs="Times New Roman"/>
                      <w:b w:val="0"/>
                    </w:rPr>
                    <w:t>О контрактной системе в сфере закупок товаров, работ, услуг для обеспечения госуд</w:t>
                  </w:r>
                  <w:r w:rsidR="00296F0B">
                    <w:rPr>
                      <w:rFonts w:ascii="Times New Roman" w:hAnsi="Times New Roman" w:cs="Times New Roman"/>
                      <w:b w:val="0"/>
                    </w:rPr>
                    <w:t>арственных и муниципальных нужд»</w:t>
                  </w:r>
                  <w:r w:rsidR="00120707">
                    <w:rPr>
                      <w:rFonts w:ascii="Times New Roman" w:hAnsi="Times New Roman" w:cs="Times New Roman"/>
                      <w:b w:val="0"/>
                    </w:rPr>
                    <w:t>.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Начальник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финансового управления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12070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Начальник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финансового управления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12070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6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</w:t>
                  </w:r>
                  <w:r w:rsidR="000D7D7B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Анализ итогов размещения муниципального заказа (ежегодный) с выработкой методических рекомендаций по совершенствованию системы размещения муниципального заказа.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1207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IV квартал </w:t>
                  </w:r>
                  <w:r w:rsidR="0012070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отчетного года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Начальник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финансового управления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7D7B" w:rsidRPr="002C4F27" w:rsidTr="008837C7">
              <w:trPr>
                <w:trHeight w:val="410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12070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6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</w:t>
                  </w:r>
                  <w:r w:rsidR="000D7D7B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1207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Анализ практики по заключению муниципальных контрактов</w:t>
                  </w:r>
                  <w:r w:rsidR="00120707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с целью соблюдения требования законодательства, а также соблюдения основного критерия исполнения муниципального контракта - минимальной цены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Начальник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финансового управления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, руководители структурных подразделений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А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МО «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Новодугинский район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Смоленской области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7D7B" w:rsidRPr="002C4F27" w:rsidTr="008837C7">
              <w:trPr>
                <w:trHeight w:val="256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120707" w:rsidP="008837C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6</w:t>
                  </w:r>
                  <w:r w:rsidR="000D7D7B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.5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1207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A6566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Монит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оринг и выявление коррупционных </w:t>
                  </w:r>
                  <w:r w:rsidRPr="00EA6566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риско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в, в том числе причин и условий коррупции в деятельности по </w:t>
                  </w:r>
                  <w:r w:rsidRPr="00EA6566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разме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щению государственных заказов и устранение выявленных коррупционных </w:t>
                  </w:r>
                  <w:r w:rsidRPr="00EA6566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рисков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Начальник финансового управления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1033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913E77" w:rsidRDefault="00120707" w:rsidP="001207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7</w:t>
                  </w:r>
                  <w:r w:rsidR="000D7D7B" w:rsidRPr="00913E77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 xml:space="preserve">. Предупреждение и выявление должностных нарушений, связанных с </w:t>
                  </w:r>
                  <w:proofErr w:type="gramStart"/>
                  <w:r w:rsidR="000D7D7B" w:rsidRPr="00913E77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коррупционными</w:t>
                  </w:r>
                  <w:proofErr w:type="gramEnd"/>
                </w:p>
                <w:p w:rsidR="000D7D7B" w:rsidRPr="00E8581F" w:rsidRDefault="000D7D7B" w:rsidP="001207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913E77">
                    <w:rPr>
                      <w:rFonts w:ascii="Times New Roman" w:eastAsia="Times New Roman" w:hAnsi="Times New Roman"/>
                      <w:b/>
                      <w:color w:val="052635"/>
                      <w:sz w:val="24"/>
                      <w:szCs w:val="24"/>
                      <w:lang w:eastAsia="ru-RU"/>
                    </w:rPr>
                    <w:t>проявлениями</w:t>
                  </w:r>
                </w:p>
              </w:tc>
            </w:tr>
            <w:tr w:rsidR="000D7D7B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12070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7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Осуществление в установленном законом порядке проверок финансово-хозяйственной деятельности муниципальных учреждений в целях </w:t>
                  </w:r>
                  <w:proofErr w:type="gramStart"/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недопущения нецелевого использования средств бюджета муниципального образования</w:t>
                  </w:r>
                  <w:proofErr w:type="gramEnd"/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 отдельному плану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Начальник </w:t>
                  </w: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финансового управления</w:t>
                  </w: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D7D7B" w:rsidRPr="002C4F27" w:rsidTr="00120707">
              <w:trPr>
                <w:trHeight w:val="164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12070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7</w:t>
                  </w:r>
                  <w:r w:rsidR="000D7D7B"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Осуществление контроля, выявление и пресечение коррупционных проявлений в ходе процессов, связанных с предоставлением и продажей земельных участков, реализацией недвижимого муниципального имущества, сдачей помещений в аренду. 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 w:rsidRPr="00E8581F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D7D7B" w:rsidRPr="00E8581F" w:rsidRDefault="000D7D7B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 за работу по профилактике коррупционных и иных правонарушений</w:t>
                  </w:r>
                </w:p>
              </w:tc>
            </w:tr>
            <w:tr w:rsidR="00120707" w:rsidRPr="002C4F27" w:rsidTr="008837C7">
              <w:trPr>
                <w:trHeight w:val="17"/>
                <w:tblCellSpacing w:w="0" w:type="dxa"/>
              </w:trPr>
              <w:tc>
                <w:tcPr>
                  <w:tcW w:w="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707" w:rsidRDefault="00120707" w:rsidP="008837C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7.3</w:t>
                  </w:r>
                </w:p>
              </w:tc>
              <w:tc>
                <w:tcPr>
                  <w:tcW w:w="4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707" w:rsidRPr="00E8581F" w:rsidRDefault="00120707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 xml:space="preserve">Осуществление контроля </w:t>
                  </w:r>
                  <w:r w:rsidR="00E20CFC"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в сфере размещения заказов для обеспечения муниципальных нужд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707" w:rsidRPr="00E8581F" w:rsidRDefault="00E20CFC" w:rsidP="004D3A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По отдельному плану</w:t>
                  </w:r>
                </w:p>
              </w:tc>
              <w:tc>
                <w:tcPr>
                  <w:tcW w:w="29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0707" w:rsidRDefault="00E20CFC" w:rsidP="004D3A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52635"/>
                      <w:sz w:val="24"/>
                      <w:szCs w:val="24"/>
                      <w:lang w:eastAsia="ru-RU"/>
                    </w:rPr>
                    <w:t>Контрольный орган</w:t>
                  </w:r>
                </w:p>
              </w:tc>
            </w:tr>
          </w:tbl>
          <w:p w:rsidR="000D7D7B" w:rsidRPr="00E8581F" w:rsidRDefault="000D7D7B" w:rsidP="004D3A5A">
            <w:pPr>
              <w:spacing w:after="240" w:line="240" w:lineRule="auto"/>
              <w:rPr>
                <w:rFonts w:ascii="Times New Roman" w:eastAsia="Times New Roman" w:hAnsi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120707" w:rsidRPr="002C4F27" w:rsidTr="00E20CFC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225" w:type="dxa"/>
              <w:bottom w:w="225" w:type="dxa"/>
              <w:right w:w="0" w:type="dxa"/>
            </w:tcMar>
            <w:hideMark/>
          </w:tcPr>
          <w:p w:rsidR="00120707" w:rsidRPr="00E8581F" w:rsidRDefault="00120707" w:rsidP="004D3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52635"/>
                <w:sz w:val="24"/>
                <w:szCs w:val="24"/>
                <w:lang w:eastAsia="ru-RU"/>
              </w:rPr>
            </w:pPr>
          </w:p>
        </w:tc>
      </w:tr>
    </w:tbl>
    <w:p w:rsidR="000D7D7B" w:rsidRPr="00E8581F" w:rsidRDefault="000D7D7B" w:rsidP="00E20CFC">
      <w:pPr>
        <w:rPr>
          <w:rFonts w:ascii="Times New Roman" w:hAnsi="Times New Roman"/>
          <w:sz w:val="24"/>
          <w:szCs w:val="24"/>
        </w:rPr>
      </w:pPr>
    </w:p>
    <w:sectPr w:rsidR="000D7D7B" w:rsidRPr="00E8581F" w:rsidSect="00E20CF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2EC9"/>
    <w:multiLevelType w:val="hybridMultilevel"/>
    <w:tmpl w:val="DDD6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D7B"/>
    <w:rsid w:val="000D7D7B"/>
    <w:rsid w:val="00120707"/>
    <w:rsid w:val="00296F0B"/>
    <w:rsid w:val="00365887"/>
    <w:rsid w:val="00417E0E"/>
    <w:rsid w:val="00445BE1"/>
    <w:rsid w:val="0073434B"/>
    <w:rsid w:val="007D6B24"/>
    <w:rsid w:val="008837C7"/>
    <w:rsid w:val="00C93CC2"/>
    <w:rsid w:val="00CB380E"/>
    <w:rsid w:val="00E2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96F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F0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2015-01-13T06:02:00Z</cp:lastPrinted>
  <dcterms:created xsi:type="dcterms:W3CDTF">2014-12-31T05:35:00Z</dcterms:created>
  <dcterms:modified xsi:type="dcterms:W3CDTF">2015-02-06T12:47:00Z</dcterms:modified>
</cp:coreProperties>
</file>